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314" w:rsidRPr="00BD08A8" w:rsidRDefault="00447314" w:rsidP="00447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D08A8">
        <w:rPr>
          <w:rFonts w:ascii="Times New Roman" w:hAnsi="Times New Roman" w:cs="Times New Roman"/>
          <w:sz w:val="28"/>
          <w:szCs w:val="28"/>
        </w:rPr>
        <w:t>ПРОТОКОЛ</w:t>
      </w:r>
    </w:p>
    <w:p w:rsidR="00447314" w:rsidRPr="00BD08A8" w:rsidRDefault="00447314" w:rsidP="00447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08A8">
        <w:rPr>
          <w:rFonts w:ascii="Times New Roman" w:hAnsi="Times New Roman" w:cs="Times New Roman"/>
          <w:sz w:val="28"/>
          <w:szCs w:val="28"/>
        </w:rPr>
        <w:t xml:space="preserve">общественного обсуждения проекта постановления Администрации города </w:t>
      </w:r>
      <w:r w:rsidRPr="00BD08A8">
        <w:rPr>
          <w:rFonts w:ascii="Times New Roman" w:hAnsi="Times New Roman" w:cs="Times New Roman"/>
          <w:sz w:val="28"/>
          <w:szCs w:val="28"/>
        </w:rPr>
        <w:br/>
        <w:t xml:space="preserve">«О прогнозе социально-экономического развития муниципального образования городской округ Сургут Ханты-Мансийского автономного округа – Югры </w:t>
      </w:r>
    </w:p>
    <w:p w:rsidR="00447314" w:rsidRPr="00BD08A8" w:rsidRDefault="00447314" w:rsidP="00447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08A8">
        <w:rPr>
          <w:rFonts w:ascii="Times New Roman" w:hAnsi="Times New Roman" w:cs="Times New Roman"/>
          <w:sz w:val="28"/>
          <w:szCs w:val="28"/>
        </w:rPr>
        <w:t>на 2026 год и на плановый период 2027 – 2028 годов»</w:t>
      </w:r>
    </w:p>
    <w:p w:rsidR="00037924" w:rsidRPr="00BD08A8" w:rsidRDefault="00037924" w:rsidP="000379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924" w:rsidRPr="00BD08A8" w:rsidRDefault="00037924" w:rsidP="00037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8A8">
        <w:rPr>
          <w:rFonts w:ascii="Times New Roman" w:hAnsi="Times New Roman" w:cs="Times New Roman"/>
          <w:sz w:val="28"/>
          <w:szCs w:val="28"/>
        </w:rPr>
        <w:t>0</w:t>
      </w:r>
      <w:r w:rsidR="008D7CDB" w:rsidRPr="00BD08A8">
        <w:rPr>
          <w:rFonts w:ascii="Times New Roman" w:hAnsi="Times New Roman" w:cs="Times New Roman"/>
          <w:sz w:val="28"/>
          <w:szCs w:val="28"/>
        </w:rPr>
        <w:t>9</w:t>
      </w:r>
      <w:r w:rsidRPr="00BD08A8">
        <w:rPr>
          <w:rFonts w:ascii="Times New Roman" w:hAnsi="Times New Roman" w:cs="Times New Roman"/>
          <w:sz w:val="28"/>
          <w:szCs w:val="28"/>
        </w:rPr>
        <w:t>.</w:t>
      </w:r>
      <w:r w:rsidR="00447314" w:rsidRPr="00BD08A8">
        <w:rPr>
          <w:rFonts w:ascii="Times New Roman" w:hAnsi="Times New Roman" w:cs="Times New Roman"/>
          <w:sz w:val="28"/>
          <w:szCs w:val="28"/>
        </w:rPr>
        <w:t>10</w:t>
      </w:r>
      <w:r w:rsidRPr="00BD08A8">
        <w:rPr>
          <w:rFonts w:ascii="Times New Roman" w:hAnsi="Times New Roman" w:cs="Times New Roman"/>
          <w:sz w:val="28"/>
          <w:szCs w:val="28"/>
        </w:rPr>
        <w:t>.2025                                                                                                              № 10</w:t>
      </w:r>
    </w:p>
    <w:p w:rsidR="00037924" w:rsidRPr="00BD08A8" w:rsidRDefault="00037924" w:rsidP="0003792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37924" w:rsidRPr="00BD08A8" w:rsidRDefault="00447314" w:rsidP="004473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8A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Прогноз социально-экономического развития муниципального образования городской округ Сургут </w:t>
      </w:r>
      <w:r w:rsidRPr="00BD08A8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Pr="00BD08A8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среднесрочный период </w:t>
      </w:r>
      <w:r w:rsidRPr="00BD08A8">
        <w:rPr>
          <w:rFonts w:ascii="Times New Roman" w:eastAsia="Times New Roman" w:hAnsi="Times New Roman" w:cs="Times New Roman"/>
          <w:sz w:val="28"/>
          <w:szCs w:val="28"/>
        </w:rPr>
        <w:t>является документом стратегического планирования</w:t>
      </w:r>
      <w:r w:rsidR="00037924" w:rsidRPr="00BD08A8">
        <w:rPr>
          <w:rFonts w:ascii="Times New Roman" w:eastAsia="Times New Roman" w:hAnsi="Times New Roman" w:cs="Times New Roman"/>
          <w:sz w:val="28"/>
          <w:szCs w:val="28"/>
        </w:rPr>
        <w:t xml:space="preserve"> и в соответствии </w:t>
      </w:r>
      <w:r w:rsidR="00F9238A" w:rsidRPr="00BD08A8">
        <w:rPr>
          <w:rFonts w:ascii="Times New Roman" w:hAnsi="Times New Roman" w:cs="Times New Roman"/>
          <w:sz w:val="28"/>
          <w:szCs w:val="28"/>
        </w:rPr>
        <w:t xml:space="preserve">со статьей 13 Федерального закона от 28.06.2014 № 172-ФЗ «О стратегическом планировании в Российской Федерации» </w:t>
      </w:r>
      <w:r w:rsidR="00037924" w:rsidRPr="00BD08A8">
        <w:rPr>
          <w:rFonts w:ascii="Times New Roman" w:eastAsia="Times New Roman" w:hAnsi="Times New Roman" w:cs="Times New Roman"/>
          <w:sz w:val="28"/>
          <w:szCs w:val="28"/>
        </w:rPr>
        <w:t>подлежит общественному обсуждению.</w:t>
      </w:r>
    </w:p>
    <w:p w:rsidR="00037924" w:rsidRPr="00BD08A8" w:rsidRDefault="00361629" w:rsidP="00361629">
      <w:pPr>
        <w:pStyle w:val="Default"/>
        <w:ind w:firstLine="709"/>
        <w:jc w:val="both"/>
        <w:rPr>
          <w:sz w:val="28"/>
          <w:szCs w:val="28"/>
        </w:rPr>
      </w:pPr>
      <w:r w:rsidRPr="00BD08A8">
        <w:rPr>
          <w:sz w:val="28"/>
          <w:szCs w:val="28"/>
        </w:rPr>
        <w:t>По п</w:t>
      </w:r>
      <w:r w:rsidR="001A5336" w:rsidRPr="00BD08A8">
        <w:rPr>
          <w:sz w:val="28"/>
          <w:szCs w:val="28"/>
        </w:rPr>
        <w:t>роект</w:t>
      </w:r>
      <w:r w:rsidRPr="00BD08A8">
        <w:rPr>
          <w:sz w:val="28"/>
          <w:szCs w:val="28"/>
        </w:rPr>
        <w:t>у</w:t>
      </w:r>
      <w:r w:rsidR="001A5336" w:rsidRPr="00BD08A8">
        <w:rPr>
          <w:sz w:val="28"/>
          <w:szCs w:val="28"/>
        </w:rPr>
        <w:t xml:space="preserve"> постановления Администрации города «О прогнозе социально-экономического развития муниципального образования городской округ Сургут Ханты-Мансийского автономного округа – Югры на 2026 год и на плановый период 2027 – 2028 годов»</w:t>
      </w:r>
      <w:r w:rsidRPr="00BD08A8">
        <w:rPr>
          <w:sz w:val="28"/>
          <w:szCs w:val="28"/>
        </w:rPr>
        <w:t xml:space="preserve"> проведено общественное обсуждение </w:t>
      </w:r>
      <w:r w:rsidR="00037924" w:rsidRPr="00BD08A8">
        <w:rPr>
          <w:sz w:val="28"/>
          <w:szCs w:val="28"/>
        </w:rPr>
        <w:t xml:space="preserve">отделом социально-экономического прогнозирования Администрации города в период </w:t>
      </w:r>
      <w:r w:rsidRPr="00BD08A8">
        <w:rPr>
          <w:sz w:val="28"/>
          <w:szCs w:val="28"/>
        </w:rPr>
        <w:br/>
      </w:r>
      <w:r w:rsidRPr="00BD08A8">
        <w:rPr>
          <w:color w:val="auto"/>
          <w:sz w:val="28"/>
          <w:szCs w:val="28"/>
        </w:rPr>
        <w:t xml:space="preserve">с 23.09.2025 по 07.10.2025 </w:t>
      </w:r>
      <w:r w:rsidR="00037924" w:rsidRPr="00BD08A8">
        <w:rPr>
          <w:sz w:val="28"/>
          <w:szCs w:val="28"/>
        </w:rPr>
        <w:t>путем размещения информационного сообщения</w:t>
      </w:r>
      <w:r w:rsidR="008C3359" w:rsidRPr="00BD08A8">
        <w:rPr>
          <w:sz w:val="28"/>
          <w:szCs w:val="28"/>
        </w:rPr>
        <w:t xml:space="preserve"> </w:t>
      </w:r>
      <w:r w:rsidRPr="00BD08A8">
        <w:rPr>
          <w:sz w:val="28"/>
          <w:szCs w:val="28"/>
        </w:rPr>
        <w:br/>
      </w:r>
      <w:r w:rsidR="008C3359" w:rsidRPr="00BD08A8">
        <w:rPr>
          <w:sz w:val="28"/>
          <w:szCs w:val="28"/>
        </w:rPr>
        <w:t>на официальном портале Администрации города в разделе «Новости структурных подразделений» (Экономика»)</w:t>
      </w:r>
      <w:r w:rsidR="008D7CDB" w:rsidRPr="00BD08A8">
        <w:rPr>
          <w:sz w:val="28"/>
          <w:szCs w:val="28"/>
        </w:rPr>
        <w:t>, в государственной автоматизированной информационной системе «Управление», на платформе обратной связи федеральной государственной информационной системы «Единый портал государственных и муниципальных услуг (функций)»</w:t>
      </w:r>
      <w:r w:rsidR="008C3359" w:rsidRPr="00BD08A8">
        <w:rPr>
          <w:sz w:val="28"/>
          <w:szCs w:val="28"/>
        </w:rPr>
        <w:t>.</w:t>
      </w:r>
    </w:p>
    <w:p w:rsidR="008C3359" w:rsidRPr="00BD08A8" w:rsidRDefault="008C3359" w:rsidP="008C3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8A8">
        <w:rPr>
          <w:rFonts w:ascii="Times New Roman" w:hAnsi="Times New Roman" w:cs="Times New Roman"/>
          <w:sz w:val="28"/>
          <w:szCs w:val="28"/>
        </w:rPr>
        <w:t>П</w:t>
      </w:r>
      <w:r w:rsidRPr="00BD08A8">
        <w:rPr>
          <w:rFonts w:ascii="Times New Roman" w:eastAsia="Times New Roman" w:hAnsi="Times New Roman" w:cs="Times New Roman"/>
          <w:sz w:val="28"/>
          <w:szCs w:val="28"/>
        </w:rPr>
        <w:t xml:space="preserve">редложения, </w:t>
      </w:r>
      <w:r w:rsidRPr="00BD08A8">
        <w:rPr>
          <w:rFonts w:ascii="Times New Roman" w:hAnsi="Times New Roman" w:cs="Times New Roman"/>
          <w:sz w:val="28"/>
          <w:szCs w:val="28"/>
        </w:rPr>
        <w:t xml:space="preserve">замечания и рекомендации </w:t>
      </w:r>
      <w:r w:rsidRPr="00BD08A8">
        <w:rPr>
          <w:rFonts w:ascii="Times New Roman" w:eastAsia="Times New Roman" w:hAnsi="Times New Roman" w:cs="Times New Roman"/>
          <w:sz w:val="28"/>
          <w:szCs w:val="28"/>
        </w:rPr>
        <w:t>по проекту принимались:</w:t>
      </w:r>
    </w:p>
    <w:p w:rsidR="008C3359" w:rsidRPr="00BD08A8" w:rsidRDefault="008C3359" w:rsidP="008C33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8A8">
        <w:rPr>
          <w:rFonts w:ascii="Times New Roman" w:hAnsi="Times New Roman" w:cs="Times New Roman"/>
          <w:sz w:val="28"/>
          <w:szCs w:val="28"/>
        </w:rPr>
        <w:t>- по адресу: 628408, город Сургут, улица Энгельса, 8, кабинет 5</w:t>
      </w:r>
      <w:r w:rsidR="00361629" w:rsidRPr="00BD08A8">
        <w:rPr>
          <w:rFonts w:ascii="Times New Roman" w:hAnsi="Times New Roman" w:cs="Times New Roman"/>
          <w:sz w:val="28"/>
          <w:szCs w:val="28"/>
        </w:rPr>
        <w:t>24</w:t>
      </w:r>
      <w:r w:rsidRPr="00BD08A8">
        <w:rPr>
          <w:rFonts w:ascii="Times New Roman" w:hAnsi="Times New Roman" w:cs="Times New Roman"/>
          <w:sz w:val="28"/>
          <w:szCs w:val="28"/>
        </w:rPr>
        <w:t xml:space="preserve"> (часы работы: с 09.00 до 17.12, с 13.00 до 14.00 – обеденное время, выходной день – суббота, воскресенье); </w:t>
      </w:r>
    </w:p>
    <w:p w:rsidR="00037924" w:rsidRPr="00BD08A8" w:rsidRDefault="00037924" w:rsidP="0003792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D08A8">
        <w:rPr>
          <w:color w:val="auto"/>
          <w:sz w:val="28"/>
          <w:szCs w:val="28"/>
        </w:rPr>
        <w:t>- на официальном портале Администрации города в разделах «Проекты документов: антикоррупционная экспертиза и общественное обсуждение»;</w:t>
      </w:r>
    </w:p>
    <w:p w:rsidR="00037924" w:rsidRPr="00BD08A8" w:rsidRDefault="00037924" w:rsidP="0003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8A8">
        <w:rPr>
          <w:rFonts w:ascii="Times New Roman" w:hAnsi="Times New Roman" w:cs="Times New Roman"/>
          <w:sz w:val="28"/>
          <w:szCs w:val="28"/>
        </w:rPr>
        <w:t xml:space="preserve">- </w:t>
      </w:r>
      <w:r w:rsidR="008C3359" w:rsidRPr="00BD08A8">
        <w:rPr>
          <w:rFonts w:ascii="Times New Roman" w:hAnsi="Times New Roman" w:cs="Times New Roman"/>
          <w:sz w:val="28"/>
          <w:szCs w:val="28"/>
        </w:rPr>
        <w:t>с использованием общедоступного</w:t>
      </w:r>
      <w:r w:rsidRPr="00BD08A8">
        <w:rPr>
          <w:rFonts w:ascii="Times New Roman" w:hAnsi="Times New Roman" w:cs="Times New Roman"/>
          <w:sz w:val="28"/>
          <w:szCs w:val="28"/>
        </w:rPr>
        <w:t xml:space="preserve"> информационно</w:t>
      </w:r>
      <w:r w:rsidR="008C3359" w:rsidRPr="00BD08A8">
        <w:rPr>
          <w:rFonts w:ascii="Times New Roman" w:hAnsi="Times New Roman" w:cs="Times New Roman"/>
          <w:sz w:val="28"/>
          <w:szCs w:val="28"/>
        </w:rPr>
        <w:t>го</w:t>
      </w:r>
      <w:r w:rsidRPr="00BD08A8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8C3359" w:rsidRPr="00BD08A8">
        <w:rPr>
          <w:rFonts w:ascii="Times New Roman" w:hAnsi="Times New Roman" w:cs="Times New Roman"/>
          <w:sz w:val="28"/>
          <w:szCs w:val="28"/>
        </w:rPr>
        <w:t>а</w:t>
      </w:r>
      <w:r w:rsidRPr="00BD08A8">
        <w:rPr>
          <w:rFonts w:ascii="Times New Roman" w:hAnsi="Times New Roman" w:cs="Times New Roman"/>
          <w:sz w:val="28"/>
          <w:szCs w:val="28"/>
        </w:rPr>
        <w:t xml:space="preserve"> стратегического планирования в информационно-телекоммуникационной сети «Интернет» (</w:t>
      </w:r>
      <w:r w:rsidR="008C3359" w:rsidRPr="00BD08A8">
        <w:rPr>
          <w:rFonts w:ascii="Times New Roman" w:hAnsi="Times New Roman" w:cs="Times New Roman"/>
          <w:sz w:val="28"/>
          <w:szCs w:val="28"/>
        </w:rPr>
        <w:t>государственной автоматизированной информационной системы</w:t>
      </w:r>
      <w:r w:rsidRPr="00BD08A8">
        <w:rPr>
          <w:rFonts w:ascii="Times New Roman" w:hAnsi="Times New Roman" w:cs="Times New Roman"/>
          <w:sz w:val="28"/>
          <w:szCs w:val="28"/>
        </w:rPr>
        <w:t xml:space="preserve"> «Управление») в разделе «Общественное обсуждение проектов», включая рассылку уведомлений в Общественную палату Российской Федерации, Экспертный совет при Правительстве Российской Федерации, общественный совет города Сургута;</w:t>
      </w:r>
    </w:p>
    <w:p w:rsidR="00037924" w:rsidRPr="00BD08A8" w:rsidRDefault="00037924" w:rsidP="0003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8A8">
        <w:rPr>
          <w:rFonts w:ascii="Times New Roman" w:hAnsi="Times New Roman" w:cs="Times New Roman"/>
          <w:sz w:val="28"/>
          <w:szCs w:val="28"/>
        </w:rPr>
        <w:t>- посредством платформы обратной связи федеральной государственной информационной системы «Единый портал государственных и муниципальных услуг (функций)» в разделе «Общественные обсуждения и публичные слушания».</w:t>
      </w:r>
    </w:p>
    <w:p w:rsidR="00090B8D" w:rsidRPr="00BD08A8" w:rsidRDefault="00045D4A" w:rsidP="00090B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08A8">
        <w:rPr>
          <w:rFonts w:ascii="Times New Roman" w:hAnsi="Times New Roman" w:cs="Times New Roman"/>
          <w:sz w:val="28"/>
          <w:szCs w:val="28"/>
        </w:rPr>
        <w:t xml:space="preserve">Общее количество поступивших предложений в период с 23.09.2025 </w:t>
      </w:r>
      <w:r w:rsidRPr="00BD08A8">
        <w:rPr>
          <w:rFonts w:ascii="Times New Roman" w:hAnsi="Times New Roman" w:cs="Times New Roman"/>
          <w:sz w:val="28"/>
          <w:szCs w:val="28"/>
        </w:rPr>
        <w:br/>
        <w:t>по 07.10.2025 в форме электронного документа составило</w:t>
      </w:r>
      <w:r w:rsidR="00075553" w:rsidRPr="00BD08A8">
        <w:rPr>
          <w:rFonts w:ascii="Times New Roman" w:hAnsi="Times New Roman" w:cs="Times New Roman"/>
          <w:sz w:val="28"/>
          <w:szCs w:val="28"/>
        </w:rPr>
        <w:t xml:space="preserve"> </w:t>
      </w:r>
      <w:r w:rsidR="00090B8D" w:rsidRPr="00BD08A8">
        <w:rPr>
          <w:rFonts w:ascii="Times New Roman" w:hAnsi="Times New Roman" w:cs="Times New Roman"/>
          <w:sz w:val="28"/>
          <w:szCs w:val="28"/>
        </w:rPr>
        <w:t>1</w:t>
      </w:r>
      <w:r w:rsidR="00075553" w:rsidRPr="00BD08A8">
        <w:rPr>
          <w:rFonts w:ascii="Times New Roman" w:hAnsi="Times New Roman" w:cs="Times New Roman"/>
          <w:sz w:val="28"/>
          <w:szCs w:val="28"/>
        </w:rPr>
        <w:t>2</w:t>
      </w:r>
      <w:r w:rsidRPr="00BD08A8">
        <w:rPr>
          <w:rFonts w:ascii="Times New Roman" w:hAnsi="Times New Roman" w:cs="Times New Roman"/>
          <w:sz w:val="28"/>
          <w:szCs w:val="28"/>
        </w:rPr>
        <w:t xml:space="preserve"> </w:t>
      </w:r>
      <w:r w:rsidR="00075553" w:rsidRPr="00BD08A8">
        <w:rPr>
          <w:rFonts w:ascii="Times New Roman" w:hAnsi="Times New Roman" w:cs="Times New Roman"/>
          <w:sz w:val="28"/>
          <w:szCs w:val="28"/>
        </w:rPr>
        <w:t xml:space="preserve">от </w:t>
      </w:r>
      <w:r w:rsidR="00090B8D" w:rsidRPr="00BD08A8">
        <w:rPr>
          <w:rFonts w:ascii="Times New Roman" w:hAnsi="Times New Roman" w:cs="Times New Roman"/>
          <w:sz w:val="28"/>
          <w:szCs w:val="28"/>
        </w:rPr>
        <w:t>3</w:t>
      </w:r>
      <w:r w:rsidRPr="00BD08A8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090B8D" w:rsidRPr="00BD08A8">
        <w:rPr>
          <w:rFonts w:ascii="Times New Roman" w:hAnsi="Times New Roman" w:cs="Times New Roman"/>
          <w:sz w:val="28"/>
          <w:szCs w:val="28"/>
        </w:rPr>
        <w:t>ов</w:t>
      </w:r>
      <w:r w:rsidRPr="00BD08A8">
        <w:rPr>
          <w:rFonts w:ascii="Times New Roman" w:hAnsi="Times New Roman" w:cs="Times New Roman"/>
          <w:sz w:val="28"/>
          <w:szCs w:val="28"/>
        </w:rPr>
        <w:t xml:space="preserve"> общественного обсуждения: бюджетного учреждения высшего образования </w:t>
      </w:r>
      <w:r w:rsidRPr="00BD08A8">
        <w:rPr>
          <w:rFonts w:ascii="Times New Roman" w:hAnsi="Times New Roman" w:cs="Times New Roman"/>
          <w:sz w:val="28"/>
          <w:szCs w:val="28"/>
        </w:rPr>
        <w:lastRenderedPageBreak/>
        <w:t>Ханты-Мансийского автономного округа – Югры «Сургутск</w:t>
      </w:r>
      <w:r w:rsidR="00075553" w:rsidRPr="00BD08A8">
        <w:rPr>
          <w:rFonts w:ascii="Times New Roman" w:hAnsi="Times New Roman" w:cs="Times New Roman"/>
          <w:sz w:val="28"/>
          <w:szCs w:val="28"/>
        </w:rPr>
        <w:t>ий государственный университет»</w:t>
      </w:r>
      <w:r w:rsidR="00090B8D" w:rsidRPr="00BD08A8">
        <w:rPr>
          <w:rFonts w:ascii="Times New Roman" w:hAnsi="Times New Roman" w:cs="Times New Roman"/>
          <w:sz w:val="28"/>
          <w:szCs w:val="28"/>
        </w:rPr>
        <w:t>, федерального государственного бюджетного учреждения науки «Вологодский научный центр Российской Академии наук», федерального государственного бюджетного образовательного учреждения высшего образования «Югорский государственный университет».</w:t>
      </w:r>
    </w:p>
    <w:p w:rsidR="00045D4A" w:rsidRPr="00BD08A8" w:rsidRDefault="00045D4A" w:rsidP="00045D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08A8">
        <w:rPr>
          <w:rFonts w:ascii="Times New Roman" w:hAnsi="Times New Roman" w:cs="Times New Roman"/>
          <w:sz w:val="28"/>
          <w:szCs w:val="28"/>
        </w:rPr>
        <w:t xml:space="preserve">Результаты рассмотрения предложений отражены в приложении </w:t>
      </w:r>
      <w:r w:rsidRPr="00BD08A8">
        <w:rPr>
          <w:rFonts w:ascii="Times New Roman" w:hAnsi="Times New Roman" w:cs="Times New Roman"/>
          <w:sz w:val="28"/>
          <w:szCs w:val="28"/>
        </w:rPr>
        <w:br/>
        <w:t>к протоколу.</w:t>
      </w:r>
    </w:p>
    <w:p w:rsidR="00090B8D" w:rsidRPr="00BD08A8" w:rsidRDefault="00090B8D" w:rsidP="0003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924" w:rsidRPr="00BD08A8" w:rsidRDefault="00037924" w:rsidP="0003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8A8">
        <w:rPr>
          <w:rFonts w:ascii="Times New Roman" w:hAnsi="Times New Roman" w:cs="Times New Roman"/>
          <w:sz w:val="28"/>
          <w:szCs w:val="28"/>
        </w:rPr>
        <w:t>РЕШИЛИ:</w:t>
      </w:r>
    </w:p>
    <w:p w:rsidR="00ED5922" w:rsidRPr="00BD08A8" w:rsidRDefault="00ED5922" w:rsidP="00C03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8A8">
        <w:rPr>
          <w:rFonts w:ascii="Times New Roman" w:hAnsi="Times New Roman" w:cs="Times New Roman"/>
          <w:sz w:val="28"/>
          <w:szCs w:val="28"/>
        </w:rPr>
        <w:t>1. Принять предложени</w:t>
      </w:r>
      <w:r w:rsidR="0040624C" w:rsidRPr="00BD08A8">
        <w:rPr>
          <w:rFonts w:ascii="Times New Roman" w:hAnsi="Times New Roman" w:cs="Times New Roman"/>
          <w:sz w:val="28"/>
          <w:szCs w:val="28"/>
        </w:rPr>
        <w:t>я</w:t>
      </w:r>
      <w:r w:rsidRPr="00BD08A8">
        <w:rPr>
          <w:rFonts w:ascii="Times New Roman" w:hAnsi="Times New Roman" w:cs="Times New Roman"/>
          <w:sz w:val="28"/>
          <w:szCs w:val="28"/>
        </w:rPr>
        <w:t>, поступивши</w:t>
      </w:r>
      <w:r w:rsidR="0040624C" w:rsidRPr="00BD08A8">
        <w:rPr>
          <w:rFonts w:ascii="Times New Roman" w:hAnsi="Times New Roman" w:cs="Times New Roman"/>
          <w:sz w:val="28"/>
          <w:szCs w:val="28"/>
        </w:rPr>
        <w:t>е</w:t>
      </w:r>
      <w:r w:rsidRPr="00BD08A8">
        <w:rPr>
          <w:rFonts w:ascii="Times New Roman" w:hAnsi="Times New Roman" w:cs="Times New Roman"/>
          <w:sz w:val="28"/>
          <w:szCs w:val="28"/>
        </w:rPr>
        <w:t xml:space="preserve"> по результатам общественных обсуждений проекта </w:t>
      </w:r>
      <w:r w:rsidR="00361629" w:rsidRPr="00BD08A8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«О прогнозе социально-экономического развития муниципального образования городской округ Сургут Ханты-Мансийского автономного округа – Югры на 2026 год </w:t>
      </w:r>
      <w:r w:rsidR="00090B8D" w:rsidRPr="00BD08A8">
        <w:rPr>
          <w:rFonts w:ascii="Times New Roman" w:hAnsi="Times New Roman" w:cs="Times New Roman"/>
          <w:sz w:val="28"/>
          <w:szCs w:val="28"/>
        </w:rPr>
        <w:br/>
      </w:r>
      <w:r w:rsidR="00361629" w:rsidRPr="00BD08A8">
        <w:rPr>
          <w:rFonts w:ascii="Times New Roman" w:hAnsi="Times New Roman" w:cs="Times New Roman"/>
          <w:sz w:val="28"/>
          <w:szCs w:val="28"/>
        </w:rPr>
        <w:t>и на плановый период 2027 – 2028 годов»</w:t>
      </w:r>
      <w:r w:rsidR="0040624C" w:rsidRPr="00BD08A8">
        <w:rPr>
          <w:rFonts w:ascii="Times New Roman" w:hAnsi="Times New Roman" w:cs="Times New Roman"/>
          <w:sz w:val="28"/>
          <w:szCs w:val="28"/>
        </w:rPr>
        <w:t xml:space="preserve">, в соответствии с приложением </w:t>
      </w:r>
      <w:r w:rsidR="00361629" w:rsidRPr="00BD08A8">
        <w:rPr>
          <w:rFonts w:ascii="Times New Roman" w:hAnsi="Times New Roman" w:cs="Times New Roman"/>
          <w:sz w:val="28"/>
          <w:szCs w:val="28"/>
        </w:rPr>
        <w:br/>
      </w:r>
      <w:r w:rsidR="0040624C" w:rsidRPr="00BD08A8">
        <w:rPr>
          <w:rFonts w:ascii="Times New Roman" w:hAnsi="Times New Roman" w:cs="Times New Roman"/>
          <w:sz w:val="28"/>
          <w:szCs w:val="28"/>
        </w:rPr>
        <w:t>к протоколу</w:t>
      </w:r>
      <w:r w:rsidRPr="00BD08A8">
        <w:rPr>
          <w:rFonts w:ascii="Times New Roman" w:hAnsi="Times New Roman" w:cs="Times New Roman"/>
          <w:sz w:val="28"/>
          <w:szCs w:val="28"/>
        </w:rPr>
        <w:t>.</w:t>
      </w:r>
    </w:p>
    <w:p w:rsidR="00ED5922" w:rsidRPr="00090B8D" w:rsidRDefault="00ED5922" w:rsidP="00ED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8A8">
        <w:rPr>
          <w:rFonts w:ascii="Times New Roman" w:hAnsi="Times New Roman" w:cs="Times New Roman"/>
          <w:sz w:val="28"/>
          <w:szCs w:val="28"/>
        </w:rPr>
        <w:t xml:space="preserve">2. Внести корректировки в проект </w:t>
      </w:r>
      <w:r w:rsidR="007340B9" w:rsidRPr="00BD08A8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«О прогнозе социально-экономического развития муниципального образования городской округ Сургут Ханты-Мансийского автономного округа – Югры </w:t>
      </w:r>
      <w:r w:rsidR="00090B8D" w:rsidRPr="00BD08A8">
        <w:rPr>
          <w:rFonts w:ascii="Times New Roman" w:hAnsi="Times New Roman" w:cs="Times New Roman"/>
          <w:sz w:val="28"/>
          <w:szCs w:val="28"/>
        </w:rPr>
        <w:br/>
      </w:r>
      <w:r w:rsidR="007340B9" w:rsidRPr="00BD08A8">
        <w:rPr>
          <w:rFonts w:ascii="Times New Roman" w:hAnsi="Times New Roman" w:cs="Times New Roman"/>
          <w:sz w:val="28"/>
          <w:szCs w:val="28"/>
        </w:rPr>
        <w:t xml:space="preserve">на 2026 год и на плановый период 2027 – 2028 годов» </w:t>
      </w:r>
      <w:r w:rsidRPr="00BD08A8">
        <w:rPr>
          <w:rFonts w:ascii="Times New Roman" w:hAnsi="Times New Roman" w:cs="Times New Roman"/>
          <w:sz w:val="28"/>
          <w:szCs w:val="28"/>
        </w:rPr>
        <w:t>с учетом п</w:t>
      </w:r>
      <w:r w:rsidR="00E3397C" w:rsidRPr="00BD08A8">
        <w:rPr>
          <w:rFonts w:ascii="Times New Roman" w:hAnsi="Times New Roman" w:cs="Times New Roman"/>
          <w:sz w:val="28"/>
          <w:szCs w:val="28"/>
        </w:rPr>
        <w:t>ринятых</w:t>
      </w:r>
      <w:r w:rsidRPr="00BD08A8">
        <w:rPr>
          <w:rFonts w:ascii="Times New Roman" w:hAnsi="Times New Roman" w:cs="Times New Roman"/>
          <w:sz w:val="28"/>
          <w:szCs w:val="28"/>
        </w:rPr>
        <w:t xml:space="preserve"> предложений.</w:t>
      </w:r>
    </w:p>
    <w:p w:rsidR="00037924" w:rsidRPr="003E74A3" w:rsidRDefault="00037924" w:rsidP="00037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924" w:rsidRPr="003E74A3" w:rsidRDefault="00037924" w:rsidP="00037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924" w:rsidRPr="003E74A3" w:rsidRDefault="00037924" w:rsidP="00037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4A3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037924" w:rsidRPr="003E74A3" w:rsidRDefault="00037924" w:rsidP="00037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4A3">
        <w:rPr>
          <w:rFonts w:ascii="Times New Roman" w:hAnsi="Times New Roman" w:cs="Times New Roman"/>
          <w:sz w:val="28"/>
          <w:szCs w:val="28"/>
        </w:rPr>
        <w:t xml:space="preserve">социально-экономического </w:t>
      </w:r>
    </w:p>
    <w:p w:rsidR="00037924" w:rsidRPr="003E74A3" w:rsidRDefault="00037924" w:rsidP="00037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4A3">
        <w:rPr>
          <w:rFonts w:ascii="Times New Roman" w:hAnsi="Times New Roman" w:cs="Times New Roman"/>
          <w:sz w:val="28"/>
          <w:szCs w:val="28"/>
        </w:rPr>
        <w:t>прогнозирования                                                                                 С.Г. Мединцева</w:t>
      </w:r>
    </w:p>
    <w:p w:rsidR="00037924" w:rsidRPr="003E74A3" w:rsidRDefault="00037924" w:rsidP="00045D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924" w:rsidRPr="003E74A3" w:rsidRDefault="00037924" w:rsidP="00045D4A">
      <w:pPr>
        <w:spacing w:after="0" w:line="240" w:lineRule="auto"/>
      </w:pPr>
    </w:p>
    <w:p w:rsidR="00075553" w:rsidRPr="003E74A3" w:rsidRDefault="00075553" w:rsidP="00045D4A">
      <w:pPr>
        <w:spacing w:after="0" w:line="240" w:lineRule="auto"/>
      </w:pPr>
    </w:p>
    <w:p w:rsidR="00075553" w:rsidRPr="003E74A3" w:rsidRDefault="00075553" w:rsidP="00045D4A">
      <w:pPr>
        <w:spacing w:after="0" w:line="240" w:lineRule="auto"/>
      </w:pPr>
    </w:p>
    <w:p w:rsidR="00075553" w:rsidRPr="003E74A3" w:rsidRDefault="00075553" w:rsidP="00045D4A">
      <w:pPr>
        <w:spacing w:after="0" w:line="240" w:lineRule="auto"/>
      </w:pPr>
    </w:p>
    <w:p w:rsidR="00075553" w:rsidRPr="003E74A3" w:rsidRDefault="00075553" w:rsidP="00045D4A">
      <w:pPr>
        <w:spacing w:after="0" w:line="240" w:lineRule="auto"/>
      </w:pPr>
    </w:p>
    <w:p w:rsidR="00075553" w:rsidRPr="003E74A3" w:rsidRDefault="00075553" w:rsidP="00045D4A">
      <w:pPr>
        <w:spacing w:after="0" w:line="240" w:lineRule="auto"/>
      </w:pPr>
    </w:p>
    <w:p w:rsidR="00090B8D" w:rsidRDefault="00090B8D" w:rsidP="00045D4A">
      <w:pPr>
        <w:spacing w:after="0" w:line="240" w:lineRule="auto"/>
      </w:pPr>
    </w:p>
    <w:p w:rsidR="00090B8D" w:rsidRDefault="00090B8D" w:rsidP="00045D4A">
      <w:pPr>
        <w:spacing w:after="0" w:line="240" w:lineRule="auto"/>
      </w:pPr>
    </w:p>
    <w:p w:rsidR="00090B8D" w:rsidRDefault="00090B8D" w:rsidP="00045D4A">
      <w:pPr>
        <w:spacing w:after="0" w:line="240" w:lineRule="auto"/>
      </w:pPr>
    </w:p>
    <w:p w:rsidR="00090B8D" w:rsidRDefault="00090B8D" w:rsidP="00045D4A">
      <w:pPr>
        <w:spacing w:after="0" w:line="240" w:lineRule="auto"/>
      </w:pPr>
    </w:p>
    <w:p w:rsidR="00090B8D" w:rsidRDefault="00090B8D" w:rsidP="00045D4A">
      <w:pPr>
        <w:spacing w:after="0" w:line="240" w:lineRule="auto"/>
      </w:pPr>
    </w:p>
    <w:p w:rsidR="00090B8D" w:rsidRDefault="00090B8D" w:rsidP="00045D4A">
      <w:pPr>
        <w:spacing w:after="0" w:line="240" w:lineRule="auto"/>
      </w:pPr>
    </w:p>
    <w:p w:rsidR="00090B8D" w:rsidRDefault="00090B8D" w:rsidP="00045D4A">
      <w:pPr>
        <w:spacing w:after="0" w:line="240" w:lineRule="auto"/>
      </w:pPr>
    </w:p>
    <w:p w:rsidR="00090B8D" w:rsidRPr="003E74A3" w:rsidRDefault="00090B8D" w:rsidP="00045D4A">
      <w:pPr>
        <w:spacing w:after="0" w:line="240" w:lineRule="auto"/>
      </w:pPr>
    </w:p>
    <w:p w:rsidR="00075553" w:rsidRPr="003E74A3" w:rsidRDefault="00075553" w:rsidP="00045D4A">
      <w:pPr>
        <w:spacing w:after="0" w:line="240" w:lineRule="auto"/>
      </w:pPr>
    </w:p>
    <w:p w:rsidR="00075553" w:rsidRPr="003E74A3" w:rsidRDefault="00075553" w:rsidP="00045D4A">
      <w:pPr>
        <w:spacing w:after="0" w:line="240" w:lineRule="auto"/>
      </w:pPr>
    </w:p>
    <w:p w:rsidR="00075553" w:rsidRPr="003E74A3" w:rsidRDefault="00075553" w:rsidP="00045D4A">
      <w:pPr>
        <w:spacing w:after="0" w:line="240" w:lineRule="auto"/>
      </w:pPr>
    </w:p>
    <w:p w:rsidR="00037924" w:rsidRPr="003E74A3" w:rsidRDefault="00037924" w:rsidP="00045D4A">
      <w:pPr>
        <w:spacing w:after="0" w:line="240" w:lineRule="auto"/>
      </w:pPr>
    </w:p>
    <w:p w:rsidR="00037924" w:rsidRPr="003E74A3" w:rsidRDefault="00037924" w:rsidP="000379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74A3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037924" w:rsidRPr="003E74A3" w:rsidRDefault="00037924" w:rsidP="000379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74A3">
        <w:rPr>
          <w:rFonts w:ascii="Times New Roman" w:hAnsi="Times New Roman" w:cs="Times New Roman"/>
          <w:sz w:val="18"/>
          <w:szCs w:val="18"/>
        </w:rPr>
        <w:t>Бергер Ольга Сергеевна,</w:t>
      </w:r>
    </w:p>
    <w:p w:rsidR="00037924" w:rsidRPr="003E74A3" w:rsidRDefault="00037924" w:rsidP="000379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74A3">
        <w:rPr>
          <w:rFonts w:ascii="Times New Roman" w:hAnsi="Times New Roman" w:cs="Times New Roman"/>
          <w:sz w:val="18"/>
          <w:szCs w:val="18"/>
        </w:rPr>
        <w:t>специалист-эксперт,</w:t>
      </w:r>
    </w:p>
    <w:p w:rsidR="00037924" w:rsidRPr="003E74A3" w:rsidRDefault="00037924" w:rsidP="000379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74A3">
        <w:rPr>
          <w:rFonts w:ascii="Times New Roman" w:hAnsi="Times New Roman" w:cs="Times New Roman"/>
          <w:sz w:val="18"/>
          <w:szCs w:val="18"/>
        </w:rPr>
        <w:t xml:space="preserve">отдел социально-экономического </w:t>
      </w:r>
    </w:p>
    <w:p w:rsidR="00037924" w:rsidRPr="003E74A3" w:rsidRDefault="00037924" w:rsidP="000379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74A3">
        <w:rPr>
          <w:rFonts w:ascii="Times New Roman" w:hAnsi="Times New Roman" w:cs="Times New Roman"/>
          <w:sz w:val="18"/>
          <w:szCs w:val="18"/>
        </w:rPr>
        <w:t>прогнозирования,</w:t>
      </w:r>
    </w:p>
    <w:p w:rsidR="00037924" w:rsidRPr="003E74A3" w:rsidRDefault="00037924" w:rsidP="00E447F6">
      <w:pPr>
        <w:spacing w:after="0" w:line="240" w:lineRule="auto"/>
        <w:sectPr w:rsidR="00037924" w:rsidRPr="003E74A3" w:rsidSect="00CE4110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3E74A3">
        <w:rPr>
          <w:rFonts w:ascii="Times New Roman" w:hAnsi="Times New Roman" w:cs="Times New Roman"/>
          <w:sz w:val="18"/>
          <w:szCs w:val="18"/>
        </w:rPr>
        <w:t>тел.: (3462) 52</w:t>
      </w:r>
      <w:r w:rsidR="00447314" w:rsidRPr="003E74A3">
        <w:rPr>
          <w:rFonts w:ascii="Times New Roman" w:hAnsi="Times New Roman" w:cs="Times New Roman"/>
          <w:sz w:val="18"/>
          <w:szCs w:val="18"/>
        </w:rPr>
        <w:t>-</w:t>
      </w:r>
      <w:r w:rsidRPr="003E74A3">
        <w:rPr>
          <w:rFonts w:ascii="Times New Roman" w:hAnsi="Times New Roman" w:cs="Times New Roman"/>
          <w:sz w:val="18"/>
          <w:szCs w:val="18"/>
        </w:rPr>
        <w:t>21</w:t>
      </w:r>
      <w:r w:rsidR="00447314" w:rsidRPr="003E74A3">
        <w:rPr>
          <w:rFonts w:ascii="Times New Roman" w:hAnsi="Times New Roman" w:cs="Times New Roman"/>
          <w:sz w:val="18"/>
          <w:szCs w:val="18"/>
        </w:rPr>
        <w:t>-</w:t>
      </w:r>
      <w:r w:rsidRPr="003E74A3">
        <w:rPr>
          <w:rFonts w:ascii="Times New Roman" w:hAnsi="Times New Roman" w:cs="Times New Roman"/>
          <w:sz w:val="18"/>
          <w:szCs w:val="18"/>
        </w:rPr>
        <w:t>04</w:t>
      </w:r>
    </w:p>
    <w:p w:rsidR="00A441F0" w:rsidRPr="00BD08A8" w:rsidRDefault="00A441F0" w:rsidP="00A441F0">
      <w:pPr>
        <w:spacing w:after="0" w:line="240" w:lineRule="auto"/>
        <w:ind w:firstLine="11482"/>
        <w:rPr>
          <w:rFonts w:ascii="Times New Roman" w:hAnsi="Times New Roman" w:cs="Times New Roman"/>
          <w:sz w:val="28"/>
          <w:szCs w:val="28"/>
        </w:rPr>
      </w:pPr>
      <w:r w:rsidRPr="00BD08A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протоколу </w:t>
      </w:r>
    </w:p>
    <w:p w:rsidR="00A441F0" w:rsidRPr="003E74A3" w:rsidRDefault="00A441F0" w:rsidP="00A441F0">
      <w:pPr>
        <w:spacing w:after="0" w:line="240" w:lineRule="auto"/>
        <w:ind w:firstLine="11482"/>
        <w:rPr>
          <w:rFonts w:ascii="Times New Roman" w:hAnsi="Times New Roman" w:cs="Times New Roman"/>
          <w:sz w:val="28"/>
          <w:szCs w:val="28"/>
        </w:rPr>
      </w:pPr>
      <w:r w:rsidRPr="00BD08A8">
        <w:rPr>
          <w:rFonts w:ascii="Times New Roman" w:hAnsi="Times New Roman" w:cs="Times New Roman"/>
          <w:sz w:val="28"/>
          <w:szCs w:val="28"/>
        </w:rPr>
        <w:t>от 0</w:t>
      </w:r>
      <w:r w:rsidR="008D7CDB" w:rsidRPr="00BD08A8">
        <w:rPr>
          <w:rFonts w:ascii="Times New Roman" w:hAnsi="Times New Roman" w:cs="Times New Roman"/>
          <w:sz w:val="28"/>
          <w:szCs w:val="28"/>
        </w:rPr>
        <w:t>9</w:t>
      </w:r>
      <w:r w:rsidRPr="00BD08A8">
        <w:rPr>
          <w:rFonts w:ascii="Times New Roman" w:hAnsi="Times New Roman" w:cs="Times New Roman"/>
          <w:sz w:val="28"/>
          <w:szCs w:val="28"/>
        </w:rPr>
        <w:t>.</w:t>
      </w:r>
      <w:r w:rsidR="00045D4A" w:rsidRPr="00BD08A8">
        <w:rPr>
          <w:rFonts w:ascii="Times New Roman" w:hAnsi="Times New Roman" w:cs="Times New Roman"/>
          <w:sz w:val="28"/>
          <w:szCs w:val="28"/>
        </w:rPr>
        <w:t>10</w:t>
      </w:r>
      <w:r w:rsidRPr="00BD08A8">
        <w:rPr>
          <w:rFonts w:ascii="Times New Roman" w:hAnsi="Times New Roman" w:cs="Times New Roman"/>
          <w:sz w:val="28"/>
          <w:szCs w:val="28"/>
        </w:rPr>
        <w:t>.2025 № 10</w:t>
      </w:r>
    </w:p>
    <w:p w:rsidR="00045D4A" w:rsidRPr="003E74A3" w:rsidRDefault="00045D4A" w:rsidP="00A441F0">
      <w:pPr>
        <w:spacing w:after="0" w:line="240" w:lineRule="auto"/>
        <w:ind w:firstLine="11482"/>
        <w:rPr>
          <w:rFonts w:ascii="Times New Roman" w:hAnsi="Times New Roman" w:cs="Times New Roman"/>
          <w:sz w:val="28"/>
          <w:szCs w:val="28"/>
        </w:rPr>
      </w:pPr>
    </w:p>
    <w:p w:rsidR="00045D4A" w:rsidRPr="003E74A3" w:rsidRDefault="00045D4A" w:rsidP="00E634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74A3">
        <w:rPr>
          <w:rFonts w:ascii="Times New Roman" w:hAnsi="Times New Roman" w:cs="Times New Roman"/>
          <w:sz w:val="28"/>
          <w:szCs w:val="28"/>
        </w:rPr>
        <w:t>Перечень предложений, поступивших по результатам общественного обсуждения проекта</w:t>
      </w:r>
    </w:p>
    <w:p w:rsidR="00045D4A" w:rsidRPr="003E74A3" w:rsidRDefault="00045D4A" w:rsidP="00E634F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74A3">
        <w:rPr>
          <w:rFonts w:ascii="Times New Roman" w:hAnsi="Times New Roman" w:cs="Times New Roman"/>
          <w:bCs/>
          <w:sz w:val="28"/>
          <w:szCs w:val="28"/>
        </w:rPr>
        <w:t>прогноза социально-экономического развития муниципального образования городской округ Сургут</w:t>
      </w:r>
    </w:p>
    <w:p w:rsidR="00045D4A" w:rsidRPr="003E74A3" w:rsidRDefault="00045D4A" w:rsidP="00E634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74A3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 на 202</w:t>
      </w:r>
      <w:r w:rsidR="00E634F5" w:rsidRPr="003E74A3">
        <w:rPr>
          <w:rFonts w:ascii="Times New Roman" w:hAnsi="Times New Roman" w:cs="Times New Roman"/>
          <w:sz w:val="28"/>
          <w:szCs w:val="28"/>
        </w:rPr>
        <w:t>6</w:t>
      </w:r>
      <w:r w:rsidRPr="003E74A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634F5" w:rsidRPr="003E74A3">
        <w:rPr>
          <w:rFonts w:ascii="Times New Roman" w:hAnsi="Times New Roman" w:cs="Times New Roman"/>
          <w:sz w:val="28"/>
          <w:szCs w:val="28"/>
        </w:rPr>
        <w:t>7</w:t>
      </w:r>
      <w:r w:rsidRPr="003E74A3">
        <w:rPr>
          <w:rFonts w:ascii="Times New Roman" w:hAnsi="Times New Roman" w:cs="Times New Roman"/>
          <w:sz w:val="28"/>
          <w:szCs w:val="28"/>
        </w:rPr>
        <w:t xml:space="preserve"> – 202</w:t>
      </w:r>
      <w:r w:rsidR="00E634F5" w:rsidRPr="003E74A3">
        <w:rPr>
          <w:rFonts w:ascii="Times New Roman" w:hAnsi="Times New Roman" w:cs="Times New Roman"/>
          <w:sz w:val="28"/>
          <w:szCs w:val="28"/>
        </w:rPr>
        <w:t>8</w:t>
      </w:r>
      <w:r w:rsidRPr="003E74A3">
        <w:rPr>
          <w:rFonts w:ascii="Times New Roman" w:hAnsi="Times New Roman" w:cs="Times New Roman"/>
          <w:sz w:val="28"/>
          <w:szCs w:val="28"/>
        </w:rPr>
        <w:t xml:space="preserve"> годов,</w:t>
      </w:r>
    </w:p>
    <w:p w:rsidR="00045D4A" w:rsidRPr="003E74A3" w:rsidRDefault="00045D4A" w:rsidP="00E634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74A3">
        <w:rPr>
          <w:rFonts w:ascii="Times New Roman" w:hAnsi="Times New Roman" w:cs="Times New Roman"/>
          <w:sz w:val="28"/>
          <w:szCs w:val="28"/>
        </w:rPr>
        <w:t xml:space="preserve">проведенного в период с </w:t>
      </w:r>
      <w:r w:rsidR="00E634F5" w:rsidRPr="003E74A3">
        <w:rPr>
          <w:rFonts w:ascii="Times New Roman" w:hAnsi="Times New Roman" w:cs="Times New Roman"/>
          <w:sz w:val="28"/>
          <w:szCs w:val="28"/>
        </w:rPr>
        <w:t>23</w:t>
      </w:r>
      <w:r w:rsidRPr="003E74A3">
        <w:rPr>
          <w:rFonts w:ascii="Times New Roman" w:hAnsi="Times New Roman" w:cs="Times New Roman"/>
          <w:sz w:val="28"/>
          <w:szCs w:val="28"/>
        </w:rPr>
        <w:t>.</w:t>
      </w:r>
      <w:r w:rsidR="00E634F5" w:rsidRPr="003E74A3">
        <w:rPr>
          <w:rFonts w:ascii="Times New Roman" w:hAnsi="Times New Roman" w:cs="Times New Roman"/>
          <w:sz w:val="28"/>
          <w:szCs w:val="28"/>
        </w:rPr>
        <w:t>09</w:t>
      </w:r>
      <w:r w:rsidRPr="003E74A3">
        <w:rPr>
          <w:rFonts w:ascii="Times New Roman" w:hAnsi="Times New Roman" w:cs="Times New Roman"/>
          <w:sz w:val="28"/>
          <w:szCs w:val="28"/>
        </w:rPr>
        <w:t>.20</w:t>
      </w:r>
      <w:r w:rsidR="00E634F5" w:rsidRPr="003E74A3">
        <w:rPr>
          <w:rFonts w:ascii="Times New Roman" w:hAnsi="Times New Roman" w:cs="Times New Roman"/>
          <w:sz w:val="28"/>
          <w:szCs w:val="28"/>
        </w:rPr>
        <w:t>25</w:t>
      </w:r>
      <w:r w:rsidRPr="003E74A3">
        <w:rPr>
          <w:rFonts w:ascii="Times New Roman" w:hAnsi="Times New Roman" w:cs="Times New Roman"/>
          <w:sz w:val="28"/>
          <w:szCs w:val="28"/>
        </w:rPr>
        <w:t xml:space="preserve"> по </w:t>
      </w:r>
      <w:r w:rsidR="00E634F5" w:rsidRPr="003E74A3">
        <w:rPr>
          <w:rFonts w:ascii="Times New Roman" w:hAnsi="Times New Roman" w:cs="Times New Roman"/>
          <w:sz w:val="28"/>
          <w:szCs w:val="28"/>
        </w:rPr>
        <w:t>07</w:t>
      </w:r>
      <w:r w:rsidRPr="003E74A3">
        <w:rPr>
          <w:rFonts w:ascii="Times New Roman" w:hAnsi="Times New Roman" w:cs="Times New Roman"/>
          <w:sz w:val="28"/>
          <w:szCs w:val="28"/>
        </w:rPr>
        <w:t>.10.202</w:t>
      </w:r>
      <w:r w:rsidR="00E634F5" w:rsidRPr="003E74A3">
        <w:rPr>
          <w:rFonts w:ascii="Times New Roman" w:hAnsi="Times New Roman" w:cs="Times New Roman"/>
          <w:sz w:val="28"/>
          <w:szCs w:val="28"/>
        </w:rPr>
        <w:t>5</w:t>
      </w:r>
    </w:p>
    <w:p w:rsidR="00045D4A" w:rsidRPr="003E74A3" w:rsidRDefault="00045D4A" w:rsidP="00045D4A">
      <w:pPr>
        <w:spacing w:after="0" w:line="240" w:lineRule="auto"/>
        <w:ind w:right="-1204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60"/>
        <w:gridCol w:w="1116"/>
        <w:gridCol w:w="1693"/>
        <w:gridCol w:w="880"/>
        <w:gridCol w:w="5278"/>
        <w:gridCol w:w="5636"/>
      </w:tblGrid>
      <w:tr w:rsidR="00045D4A" w:rsidRPr="003E74A3" w:rsidTr="00545207">
        <w:tc>
          <w:tcPr>
            <w:tcW w:w="560" w:type="dxa"/>
          </w:tcPr>
          <w:p w:rsidR="00045D4A" w:rsidRPr="003E74A3" w:rsidRDefault="00045D4A" w:rsidP="00045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4A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116" w:type="dxa"/>
          </w:tcPr>
          <w:p w:rsidR="00045D4A" w:rsidRPr="003E74A3" w:rsidRDefault="00045D4A" w:rsidP="00045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4A3">
              <w:rPr>
                <w:rFonts w:ascii="Times New Roman" w:hAnsi="Times New Roman" w:cs="Times New Roman"/>
                <w:sz w:val="20"/>
                <w:szCs w:val="20"/>
              </w:rPr>
              <w:t>Дата внесения</w:t>
            </w:r>
          </w:p>
        </w:tc>
        <w:tc>
          <w:tcPr>
            <w:tcW w:w="1693" w:type="dxa"/>
          </w:tcPr>
          <w:p w:rsidR="00045D4A" w:rsidRPr="003E74A3" w:rsidRDefault="00045D4A" w:rsidP="00045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4A3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</w:p>
          <w:p w:rsidR="00045D4A" w:rsidRPr="003E74A3" w:rsidRDefault="00045D4A" w:rsidP="00045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4A3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общественного </w:t>
            </w:r>
          </w:p>
          <w:p w:rsidR="00045D4A" w:rsidRPr="003E74A3" w:rsidRDefault="00045D4A" w:rsidP="00045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4A3">
              <w:rPr>
                <w:rFonts w:ascii="Times New Roman" w:hAnsi="Times New Roman" w:cs="Times New Roman"/>
                <w:sz w:val="20"/>
                <w:szCs w:val="20"/>
              </w:rPr>
              <w:t>обсуждения</w:t>
            </w:r>
          </w:p>
        </w:tc>
        <w:tc>
          <w:tcPr>
            <w:tcW w:w="880" w:type="dxa"/>
          </w:tcPr>
          <w:p w:rsidR="00045D4A" w:rsidRPr="003E74A3" w:rsidRDefault="00045D4A" w:rsidP="00045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4A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045D4A" w:rsidRPr="003E74A3" w:rsidRDefault="00045D4A" w:rsidP="00045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74A3">
              <w:rPr>
                <w:rFonts w:ascii="Times New Roman" w:hAnsi="Times New Roman" w:cs="Times New Roman"/>
                <w:sz w:val="20"/>
                <w:szCs w:val="20"/>
              </w:rPr>
              <w:t>предло</w:t>
            </w:r>
            <w:proofErr w:type="spellEnd"/>
            <w:r w:rsidRPr="003E74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45D4A" w:rsidRPr="003E74A3" w:rsidRDefault="00045D4A" w:rsidP="00045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74A3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5278" w:type="dxa"/>
          </w:tcPr>
          <w:p w:rsidR="00045D4A" w:rsidRPr="003E74A3" w:rsidRDefault="00045D4A" w:rsidP="00045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4A3">
              <w:rPr>
                <w:rFonts w:ascii="Times New Roman" w:hAnsi="Times New Roman" w:cs="Times New Roman"/>
                <w:sz w:val="20"/>
                <w:szCs w:val="20"/>
              </w:rPr>
              <w:t>Содержание предложения</w:t>
            </w:r>
          </w:p>
        </w:tc>
        <w:tc>
          <w:tcPr>
            <w:tcW w:w="5636" w:type="dxa"/>
          </w:tcPr>
          <w:p w:rsidR="00045D4A" w:rsidRPr="003E74A3" w:rsidRDefault="00045D4A" w:rsidP="00045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4A3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рассмотрения (принимается/отклоняется). </w:t>
            </w:r>
          </w:p>
          <w:p w:rsidR="00045D4A" w:rsidRPr="003E74A3" w:rsidRDefault="00045D4A" w:rsidP="00045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4A3">
              <w:rPr>
                <w:rFonts w:ascii="Times New Roman" w:hAnsi="Times New Roman" w:cs="Times New Roman"/>
                <w:sz w:val="20"/>
                <w:szCs w:val="20"/>
              </w:rPr>
              <w:t>Мотивированные выводы в случае отклонения</w:t>
            </w:r>
          </w:p>
        </w:tc>
      </w:tr>
      <w:tr w:rsidR="009A5F79" w:rsidRPr="00453BDE" w:rsidTr="00545207">
        <w:tc>
          <w:tcPr>
            <w:tcW w:w="560" w:type="dxa"/>
            <w:vMerge w:val="restart"/>
          </w:tcPr>
          <w:p w:rsidR="009A5F79" w:rsidRPr="003E74A3" w:rsidRDefault="009A5F79" w:rsidP="00F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4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vMerge w:val="restart"/>
          </w:tcPr>
          <w:p w:rsidR="009A5F79" w:rsidRPr="003E74A3" w:rsidRDefault="009A5F79" w:rsidP="00F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4A3">
              <w:rPr>
                <w:rFonts w:ascii="Times New Roman" w:hAnsi="Times New Roman" w:cs="Times New Roman"/>
                <w:sz w:val="20"/>
                <w:szCs w:val="20"/>
              </w:rPr>
              <w:t>06.10.2025</w:t>
            </w:r>
          </w:p>
        </w:tc>
        <w:tc>
          <w:tcPr>
            <w:tcW w:w="1693" w:type="dxa"/>
            <w:vMerge w:val="restart"/>
          </w:tcPr>
          <w:p w:rsidR="009A5F79" w:rsidRPr="003E74A3" w:rsidRDefault="009A5F79" w:rsidP="00FB3E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4A3">
              <w:rPr>
                <w:rFonts w:ascii="Times New Roman" w:hAnsi="Times New Roman" w:cs="Times New Roman"/>
                <w:sz w:val="20"/>
                <w:szCs w:val="20"/>
              </w:rPr>
              <w:t>Бюджетное учреждение высшего образования Ханты-Мансийского автономного округа - Югры «Сургутский государственный университет»</w:t>
            </w:r>
          </w:p>
        </w:tc>
        <w:tc>
          <w:tcPr>
            <w:tcW w:w="880" w:type="dxa"/>
          </w:tcPr>
          <w:p w:rsidR="009A5F79" w:rsidRPr="003E74A3" w:rsidRDefault="009A5F79" w:rsidP="00F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4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78" w:type="dxa"/>
          </w:tcPr>
          <w:p w:rsidR="009A5F79" w:rsidRPr="003E74A3" w:rsidRDefault="009A5F79" w:rsidP="00F76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4A3">
              <w:rPr>
                <w:rFonts w:ascii="Times New Roman" w:hAnsi="Times New Roman" w:cs="Times New Roman"/>
                <w:sz w:val="20"/>
                <w:szCs w:val="20"/>
              </w:rPr>
              <w:t>В документе говорится о том, что в инвестиционном рейтинге муниципальных образований Ханты-Мансийского автономного округа - Югры по обеспечению условий благоприятного инвестиционного климата и содействию развитию конкуренции за 2023 год, город Сургут занял 4-е место, что свидетельствует о «высокой инвестиционной привлекательности» города. В то же время, учитывая, что город Сургут является самым крупным и развитым в промышленном, научном, образовательном и социальном аспектах среди всех муниципальных образований автономного округа - 4-е место в данном рейтинге, по нашему мнению, это достаточно низкий результат. В связи с этим, следовало бы обозначить основные недостатки в инвестиционной политике города, выделенные экспертами в ходе составления данного рейтинга, и представить планируемые и уже осуществляемые шаги, направленные на устранение этих недостатков</w:t>
            </w:r>
          </w:p>
        </w:tc>
        <w:tc>
          <w:tcPr>
            <w:tcW w:w="5636" w:type="dxa"/>
          </w:tcPr>
          <w:p w:rsidR="009A5F79" w:rsidRPr="00BD08A8" w:rsidRDefault="009A5F79" w:rsidP="00F76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Принимается.</w:t>
            </w:r>
          </w:p>
          <w:p w:rsidR="00AB60B2" w:rsidRDefault="009A5F79" w:rsidP="00F76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 проекта прогноза социально-экономического развития муниципального образования городской округ Сургут Ханты-Мансийского автономного округа – Югры </w:t>
            </w:r>
          </w:p>
          <w:p w:rsidR="009A5F79" w:rsidRPr="00BD08A8" w:rsidRDefault="009A5F79" w:rsidP="00F76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на 2026 год и на плановый период 2027 – 2028 годов (далее – прогноз) дополнен</w:t>
            </w:r>
            <w:r w:rsidR="00FF758F" w:rsidRPr="00BD08A8">
              <w:rPr>
                <w:rFonts w:ascii="Times New Roman" w:hAnsi="Times New Roman" w:cs="Times New Roman"/>
                <w:sz w:val="20"/>
                <w:szCs w:val="20"/>
              </w:rPr>
              <w:t>о следующей</w:t>
            </w: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информацией о </w:t>
            </w:r>
            <w:r w:rsidR="008D7CDB" w:rsidRPr="00BD08A8">
              <w:rPr>
                <w:rFonts w:ascii="Times New Roman" w:hAnsi="Times New Roman" w:cs="Times New Roman"/>
                <w:sz w:val="20"/>
                <w:szCs w:val="20"/>
              </w:rPr>
              <w:t>реализуемых</w:t>
            </w: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7CDB" w:rsidRPr="00BD08A8">
              <w:rPr>
                <w:rFonts w:ascii="Times New Roman" w:hAnsi="Times New Roman" w:cs="Times New Roman"/>
                <w:sz w:val="20"/>
                <w:szCs w:val="20"/>
              </w:rPr>
              <w:t>Администрацией города мерах</w:t>
            </w: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, направленн</w:t>
            </w:r>
            <w:r w:rsidR="008D7CDB" w:rsidRPr="00BD08A8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 на улучшение позиций города в инвестиционном рейтинге автономного округа</w:t>
            </w:r>
            <w:r w:rsidR="00FF758F" w:rsidRPr="00BD08A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B60B2" w:rsidRDefault="00FF758F" w:rsidP="00FF75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B3A68"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B608BD" w:rsidRPr="00BD08A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редусмотрены мероприятия, направленные на достижение показателей / направлений рейтинга: </w:t>
            </w:r>
            <w:r w:rsidR="008B3A68"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1/ </w:t>
            </w: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«Инвестиционная деятельность, привлечение инвестиций»; «Эффективность организационных механизмов, качество информационной поддержки инвесторов»; «Развитие малого </w:t>
            </w:r>
          </w:p>
          <w:p w:rsidR="00FF758F" w:rsidRPr="00BD08A8" w:rsidRDefault="00FF758F" w:rsidP="00FF75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и среднего предпринимательства»; «Повышение качества регуляторной среды для бизнеса»; «Развитие конкуренции».</w:t>
            </w:r>
          </w:p>
          <w:p w:rsidR="00FF758F" w:rsidRPr="00BD08A8" w:rsidRDefault="00B608BD" w:rsidP="00FF75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2. Н</w:t>
            </w:r>
            <w:r w:rsidR="00FF758F"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а постоянной основе проводится работа по расширению мер поддержки инвесторов и оптимизации условий для реализации инвестиционных проектов, в том числе, направленная на возможное сокращение сроков оказания муниципальных услуг, предусмотренных сводом инвестиционных правил субъекта Российской Федерации. </w:t>
            </w:r>
          </w:p>
          <w:p w:rsidR="00FF758F" w:rsidRPr="00BD08A8" w:rsidRDefault="00B608BD" w:rsidP="00FF75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FF758F" w:rsidRPr="00BD08A8">
              <w:rPr>
                <w:rFonts w:ascii="Times New Roman" w:hAnsi="Times New Roman" w:cs="Times New Roman"/>
                <w:sz w:val="20"/>
                <w:szCs w:val="20"/>
              </w:rPr>
              <w:t>Осуществляется реализация системы поддержки новых инвестиционных проектов «Региональный инвестиционный стандарт».</w:t>
            </w:r>
          </w:p>
          <w:p w:rsidR="00FF758F" w:rsidRPr="00BD08A8" w:rsidRDefault="00B608BD" w:rsidP="00FF75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4. В</w:t>
            </w:r>
            <w:r w:rsidR="00FF758F"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 целях формирования единого подхода к сопровождению инвестиционных проектов и создания благоприятных условий </w:t>
            </w:r>
            <w:r w:rsidR="00FF758F" w:rsidRPr="00BD08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развития инвестиционной деятельности в муниципальном образовании внедрен Муниципальный инвестиционный стандарт.</w:t>
            </w:r>
          </w:p>
          <w:p w:rsidR="00D31A3B" w:rsidRPr="00BD08A8" w:rsidRDefault="00D31A3B" w:rsidP="00FF75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FF758F"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 инвестиционный и инновационный уполномоченный в муниципальном образовании для оказания содействия в реализации инвестиционных и инновационных проектов, привлечения инвесторов, а также ведения мониторинга развития инвестиционной и инновационной сфер муниципального образования. </w:t>
            </w:r>
          </w:p>
          <w:p w:rsidR="00FF758F" w:rsidRPr="00BD08A8" w:rsidRDefault="00D31A3B" w:rsidP="00FF75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="00FF758F" w:rsidRPr="00BD08A8">
              <w:rPr>
                <w:rFonts w:ascii="Times New Roman" w:hAnsi="Times New Roman" w:cs="Times New Roman"/>
                <w:sz w:val="20"/>
                <w:szCs w:val="20"/>
              </w:rPr>
              <w:t>На постоянной основе проводятся рабочие встречи / совещания с действующими и потенциальными инвесторами, действуют постоянные совещательные органы: Инвестиционный совет при Главе города Сургута, Совет по развитию инновационного потенциала в муниципальном образовании городской округ Сургут Ханты-Мансийского автономного округа – Югры, Координационный совет по развитию малого и среднего предпринимательства при Администрации города, в том числе для решения вопросов, направленных на улучшение благоприятного инвестиционного климата.</w:t>
            </w:r>
          </w:p>
          <w:p w:rsidR="00FF758F" w:rsidRPr="00BD08A8" w:rsidRDefault="00D31A3B" w:rsidP="00FF75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608BD" w:rsidRPr="00BD08A8">
              <w:rPr>
                <w:rFonts w:ascii="Times New Roman" w:hAnsi="Times New Roman" w:cs="Times New Roman"/>
                <w:sz w:val="20"/>
                <w:szCs w:val="20"/>
              </w:rPr>
              <w:t>. Р</w:t>
            </w:r>
            <w:r w:rsidR="00FF758F"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азработан инвестиционный профиль муниципального образования для формирования у инвесторов объективного представления об инвестиционной привлекательности территории. </w:t>
            </w:r>
          </w:p>
          <w:p w:rsidR="00FF758F" w:rsidRPr="00BD08A8" w:rsidRDefault="00D31A3B" w:rsidP="00FF75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608BD" w:rsidRPr="00BD08A8">
              <w:rPr>
                <w:rFonts w:ascii="Times New Roman" w:hAnsi="Times New Roman" w:cs="Times New Roman"/>
                <w:sz w:val="20"/>
                <w:szCs w:val="20"/>
              </w:rPr>
              <w:t>. Ак</w:t>
            </w:r>
            <w:r w:rsidR="00FF758F"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туализируется </w:t>
            </w:r>
            <w:r w:rsidR="00B608BD"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на регулярной основе </w:t>
            </w:r>
            <w:r w:rsidR="00FF758F" w:rsidRPr="00BD08A8">
              <w:rPr>
                <w:rFonts w:ascii="Times New Roman" w:hAnsi="Times New Roman" w:cs="Times New Roman"/>
                <w:sz w:val="20"/>
                <w:szCs w:val="20"/>
              </w:rPr>
              <w:t>перечень свободных инвестиционных площадок на инвестиционной карте города и Инвестиционной карте Ханты-Мансийского автономного округа – Югры, информация для инвесторов и предпринимателей на Инвестиционном портале города Сургута, в том числе инвестиционный паспорт муниципального образования городской округ Сургут.»</w:t>
            </w:r>
          </w:p>
        </w:tc>
      </w:tr>
      <w:tr w:rsidR="009A5F79" w:rsidRPr="003E74A3" w:rsidTr="00545207">
        <w:tc>
          <w:tcPr>
            <w:tcW w:w="560" w:type="dxa"/>
            <w:vMerge/>
          </w:tcPr>
          <w:p w:rsidR="009A5F79" w:rsidRPr="003E74A3" w:rsidRDefault="009A5F79" w:rsidP="00F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9A5F79" w:rsidRPr="003E74A3" w:rsidRDefault="009A5F79" w:rsidP="00F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9A5F79" w:rsidRPr="003E74A3" w:rsidRDefault="009A5F79" w:rsidP="00FB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9A5F79" w:rsidRPr="003E74A3" w:rsidRDefault="009A5F79" w:rsidP="00F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4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78" w:type="dxa"/>
          </w:tcPr>
          <w:p w:rsidR="009A5F79" w:rsidRPr="003E74A3" w:rsidRDefault="009A5F79" w:rsidP="00BA3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4A3">
              <w:rPr>
                <w:rFonts w:ascii="Times New Roman" w:hAnsi="Times New Roman" w:cs="Times New Roman"/>
                <w:sz w:val="20"/>
                <w:szCs w:val="20"/>
              </w:rPr>
              <w:t>Индекс потребительских цен за 2027 - 2028 годы в прогнозе составляет в обоих вариантах 104 (Приложение 1, п. «Социальные индикаторы»). По нашему мнению, было бы уместно рассмотреть два варианта: 104 и 106</w:t>
            </w:r>
          </w:p>
        </w:tc>
        <w:tc>
          <w:tcPr>
            <w:tcW w:w="5636" w:type="dxa"/>
          </w:tcPr>
          <w:p w:rsidR="009A5F79" w:rsidRPr="00DC04C7" w:rsidRDefault="009A5F79" w:rsidP="00F042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4C7">
              <w:rPr>
                <w:rFonts w:ascii="Times New Roman" w:hAnsi="Times New Roman" w:cs="Times New Roman"/>
                <w:sz w:val="20"/>
                <w:szCs w:val="20"/>
              </w:rPr>
              <w:t>Отклоняется.</w:t>
            </w:r>
          </w:p>
          <w:p w:rsidR="00AB60B2" w:rsidRPr="00DC04C7" w:rsidRDefault="009A5F79" w:rsidP="003F251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C04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Значения показателей инфляции, предусмотренные прогнозом на 2027 и 2028 годы, </w:t>
            </w:r>
            <w:r w:rsidR="003F251A" w:rsidRPr="00DC04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коррелируются со значениями </w:t>
            </w:r>
            <w:r w:rsidRPr="00DC04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соответствую</w:t>
            </w:r>
            <w:r w:rsidR="00453BDE" w:rsidRPr="00DC04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щих показателей, предусмотренным</w:t>
            </w:r>
            <w:r w:rsidRPr="00DC04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04C7">
              <w:rPr>
                <w:rFonts w:ascii="Times New Roman" w:hAnsi="Times New Roman" w:cs="Times New Roman"/>
                <w:sz w:val="20"/>
                <w:szCs w:val="20"/>
              </w:rPr>
              <w:t>сценарными условиями функционирования экономики</w:t>
            </w:r>
            <w:r w:rsidRPr="00DC04C7">
              <w:rPr>
                <w:rStyle w:val="af1"/>
                <w:rFonts w:ascii="Times New Roman" w:eastAsiaTheme="majorEastAsia" w:hAnsi="Times New Roman"/>
                <w:color w:val="auto"/>
                <w:sz w:val="20"/>
                <w:szCs w:val="20"/>
              </w:rPr>
              <w:t>, прогнозом социально-экономического развития Р</w:t>
            </w:r>
            <w:r w:rsidR="00A96DFE" w:rsidRPr="00DC04C7">
              <w:rPr>
                <w:rStyle w:val="af1"/>
                <w:rFonts w:ascii="Times New Roman" w:eastAsiaTheme="majorEastAsia" w:hAnsi="Times New Roman"/>
                <w:color w:val="auto"/>
                <w:sz w:val="20"/>
                <w:szCs w:val="20"/>
              </w:rPr>
              <w:t xml:space="preserve">оссийской </w:t>
            </w:r>
            <w:r w:rsidRPr="00DC04C7">
              <w:rPr>
                <w:rStyle w:val="af1"/>
                <w:rFonts w:ascii="Times New Roman" w:eastAsiaTheme="majorEastAsia" w:hAnsi="Times New Roman"/>
                <w:color w:val="auto"/>
                <w:sz w:val="20"/>
                <w:szCs w:val="20"/>
              </w:rPr>
              <w:t>Ф</w:t>
            </w:r>
            <w:r w:rsidR="00A96DFE" w:rsidRPr="00DC04C7">
              <w:rPr>
                <w:rStyle w:val="af1"/>
                <w:rFonts w:ascii="Times New Roman" w:eastAsiaTheme="majorEastAsia" w:hAnsi="Times New Roman"/>
                <w:color w:val="auto"/>
                <w:sz w:val="20"/>
                <w:szCs w:val="20"/>
              </w:rPr>
              <w:t>едерации</w:t>
            </w:r>
            <w:r w:rsidRPr="00DC04C7">
              <w:rPr>
                <w:rStyle w:val="af1"/>
                <w:rFonts w:ascii="Times New Roman" w:eastAsiaTheme="majorEastAsia" w:hAnsi="Times New Roman"/>
                <w:color w:val="auto"/>
                <w:sz w:val="20"/>
                <w:szCs w:val="20"/>
              </w:rPr>
              <w:t>, разработанными Министерством экономического развития Р</w:t>
            </w:r>
            <w:r w:rsidR="00A96DFE" w:rsidRPr="00DC04C7">
              <w:rPr>
                <w:rStyle w:val="af1"/>
                <w:rFonts w:ascii="Times New Roman" w:eastAsiaTheme="majorEastAsia" w:hAnsi="Times New Roman"/>
                <w:color w:val="auto"/>
                <w:sz w:val="20"/>
                <w:szCs w:val="20"/>
              </w:rPr>
              <w:t xml:space="preserve">оссийской </w:t>
            </w:r>
            <w:r w:rsidRPr="00DC04C7">
              <w:rPr>
                <w:rStyle w:val="af1"/>
                <w:rFonts w:ascii="Times New Roman" w:eastAsiaTheme="majorEastAsia" w:hAnsi="Times New Roman"/>
                <w:color w:val="auto"/>
                <w:sz w:val="20"/>
                <w:szCs w:val="20"/>
              </w:rPr>
              <w:t>Ф</w:t>
            </w:r>
            <w:r w:rsidR="00A96DFE" w:rsidRPr="00DC04C7">
              <w:rPr>
                <w:rStyle w:val="af1"/>
                <w:rFonts w:ascii="Times New Roman" w:eastAsiaTheme="majorEastAsia" w:hAnsi="Times New Roman"/>
                <w:color w:val="auto"/>
                <w:sz w:val="20"/>
                <w:szCs w:val="20"/>
              </w:rPr>
              <w:t>едерации</w:t>
            </w:r>
            <w:r w:rsidRPr="00DC04C7">
              <w:rPr>
                <w:rStyle w:val="af1"/>
                <w:rFonts w:ascii="Times New Roman" w:eastAsiaTheme="majorEastAsia" w:hAnsi="Times New Roman"/>
                <w:color w:val="auto"/>
                <w:sz w:val="20"/>
                <w:szCs w:val="20"/>
              </w:rPr>
              <w:t xml:space="preserve">, </w:t>
            </w:r>
            <w:r w:rsidRPr="00DC04C7">
              <w:rPr>
                <w:rFonts w:ascii="Times New Roman" w:hAnsi="Times New Roman" w:cs="Times New Roman"/>
                <w:sz w:val="20"/>
                <w:szCs w:val="20"/>
              </w:rPr>
              <w:t xml:space="preserve">прогнозом социально-экономического развития Ханты-Мансийского автономного округа – Югры </w:t>
            </w:r>
          </w:p>
          <w:p w:rsidR="009A5F79" w:rsidRPr="00DC04C7" w:rsidRDefault="009A5F79" w:rsidP="003F251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C04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2026 год и на плановый период 2027 – 2028 годов, а также целевому уровню инфляции установленному Банком России</w:t>
            </w:r>
          </w:p>
        </w:tc>
      </w:tr>
      <w:tr w:rsidR="009A5F79" w:rsidRPr="003E74A3" w:rsidTr="00545207">
        <w:tc>
          <w:tcPr>
            <w:tcW w:w="560" w:type="dxa"/>
            <w:vMerge/>
          </w:tcPr>
          <w:p w:rsidR="009A5F79" w:rsidRPr="003E74A3" w:rsidRDefault="009A5F79" w:rsidP="00F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9A5F79" w:rsidRPr="003E74A3" w:rsidRDefault="009A5F79" w:rsidP="00F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9A5F79" w:rsidRPr="003E74A3" w:rsidRDefault="009A5F79" w:rsidP="00FB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9A5F79" w:rsidRPr="003E74A3" w:rsidRDefault="009A5F79" w:rsidP="00F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4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78" w:type="dxa"/>
          </w:tcPr>
          <w:p w:rsidR="009A5F79" w:rsidRPr="003E74A3" w:rsidRDefault="009A5F79" w:rsidP="00BA3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4A3">
              <w:rPr>
                <w:rFonts w:ascii="Times New Roman" w:hAnsi="Times New Roman" w:cs="Times New Roman"/>
                <w:sz w:val="20"/>
                <w:szCs w:val="20"/>
              </w:rPr>
              <w:t>Отсутствует обоснование выводов о том, почему сценарий базового варианта Прогноза заявлен как целевой. Параметры консервативного и базового вариантов отличаются незначительно. В Прогнозе заявлено, что сценарий базового варианта определяется ростом внутреннего потребительского и инвестиционного спроса, однако ни цифровых данных, подтверждающих этот рост, ни характеристики факторов роста, в прогнозе не приведено</w:t>
            </w:r>
            <w:r w:rsidR="00817710" w:rsidRPr="003E74A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:rsidR="009A5F79" w:rsidRPr="003E74A3" w:rsidRDefault="009A5F79" w:rsidP="00BA3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4A3">
              <w:rPr>
                <w:rFonts w:ascii="Times New Roman" w:hAnsi="Times New Roman" w:cs="Times New Roman"/>
                <w:sz w:val="20"/>
                <w:szCs w:val="20"/>
              </w:rPr>
              <w:t>В качестве рекомендации можно рассмотреть увеличение количества сценарных вариантов прогноза за счет дополнения консервативного (рискового) и базового сценариев третьим инновационным сценарием (оптимистическим). В пояснительной записке при этом рекомендуется дать оценку вероятности (в процентах) движения экономики и социальной сферы города по каждой из сценарных траекторий</w:t>
            </w:r>
          </w:p>
        </w:tc>
        <w:tc>
          <w:tcPr>
            <w:tcW w:w="5636" w:type="dxa"/>
          </w:tcPr>
          <w:p w:rsidR="009A5F79" w:rsidRPr="00DC04C7" w:rsidRDefault="009A5F79" w:rsidP="00F042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4C7">
              <w:rPr>
                <w:rFonts w:ascii="Times New Roman" w:hAnsi="Times New Roman" w:cs="Times New Roman"/>
                <w:sz w:val="20"/>
                <w:szCs w:val="20"/>
              </w:rPr>
              <w:t>Отклоняется.</w:t>
            </w:r>
          </w:p>
          <w:p w:rsidR="009A5F79" w:rsidRPr="00DC04C7" w:rsidRDefault="009A5F79" w:rsidP="00BC0554">
            <w:pPr>
              <w:rPr>
                <w:rStyle w:val="af1"/>
                <w:rFonts w:ascii="Times New Roman" w:hAnsi="Times New Roman"/>
                <w:bCs/>
                <w:color w:val="auto"/>
                <w:sz w:val="20"/>
                <w:szCs w:val="20"/>
              </w:rPr>
            </w:pPr>
            <w:r w:rsidRPr="00DC04C7">
              <w:rPr>
                <w:rFonts w:ascii="Times New Roman" w:hAnsi="Times New Roman" w:cs="Times New Roman"/>
                <w:sz w:val="20"/>
                <w:szCs w:val="20"/>
              </w:rPr>
              <w:t>Проект прогноза сформирован в соответствии с порядком, утвержденным п</w:t>
            </w:r>
            <w:r w:rsidRPr="00DC04C7">
              <w:rPr>
                <w:rStyle w:val="af1"/>
                <w:rFonts w:ascii="Times New Roman" w:hAnsi="Times New Roman"/>
                <w:bCs/>
                <w:color w:val="auto"/>
                <w:sz w:val="20"/>
                <w:szCs w:val="20"/>
              </w:rPr>
              <w:t>остановлением Администрации города.</w:t>
            </w:r>
          </w:p>
          <w:p w:rsidR="009A5F79" w:rsidRPr="00DC04C7" w:rsidRDefault="009A5F79" w:rsidP="00BC0554">
            <w:pPr>
              <w:rPr>
                <w:rStyle w:val="af1"/>
                <w:rFonts w:ascii="Times New Roman" w:hAnsi="Times New Roman"/>
                <w:bCs/>
                <w:color w:val="auto"/>
                <w:sz w:val="20"/>
                <w:szCs w:val="20"/>
              </w:rPr>
            </w:pPr>
            <w:r w:rsidRPr="00DC04C7">
              <w:rPr>
                <w:rStyle w:val="af1"/>
                <w:rFonts w:ascii="Times New Roman" w:hAnsi="Times New Roman"/>
                <w:bCs/>
                <w:color w:val="auto"/>
                <w:sz w:val="20"/>
                <w:szCs w:val="20"/>
              </w:rPr>
              <w:t xml:space="preserve">Данный порядок учитывает требования федерального законодательства </w:t>
            </w:r>
            <w:r w:rsidR="003F251A" w:rsidRPr="00DC04C7">
              <w:rPr>
                <w:rStyle w:val="af1"/>
                <w:rFonts w:ascii="Times New Roman" w:hAnsi="Times New Roman"/>
                <w:bCs/>
                <w:color w:val="auto"/>
                <w:sz w:val="20"/>
                <w:szCs w:val="20"/>
              </w:rPr>
              <w:t xml:space="preserve">и законодательства субъекта Российской Федерации </w:t>
            </w:r>
            <w:r w:rsidRPr="00DC04C7">
              <w:rPr>
                <w:rStyle w:val="af1"/>
                <w:rFonts w:ascii="Times New Roman" w:hAnsi="Times New Roman"/>
                <w:bCs/>
                <w:color w:val="auto"/>
                <w:sz w:val="20"/>
                <w:szCs w:val="20"/>
              </w:rPr>
              <w:t>в данной сфере.</w:t>
            </w:r>
          </w:p>
          <w:p w:rsidR="00AB60B2" w:rsidRPr="00DC04C7" w:rsidRDefault="009A5F79" w:rsidP="00BC0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C7">
              <w:rPr>
                <w:rStyle w:val="af1"/>
                <w:rFonts w:ascii="Times New Roman" w:hAnsi="Times New Roman"/>
                <w:bCs/>
                <w:color w:val="auto"/>
                <w:sz w:val="20"/>
                <w:szCs w:val="20"/>
              </w:rPr>
              <w:t xml:space="preserve">Порядком предусмотрена </w:t>
            </w:r>
            <w:r w:rsidRPr="00DC04C7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прогноза на вариативной основе в двух обязательных (основных) вариантах – базовом </w:t>
            </w:r>
          </w:p>
          <w:p w:rsidR="009A5F79" w:rsidRPr="00DC04C7" w:rsidRDefault="009A5F79" w:rsidP="00BC0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C7">
              <w:rPr>
                <w:rFonts w:ascii="Times New Roman" w:hAnsi="Times New Roman" w:cs="Times New Roman"/>
                <w:sz w:val="20"/>
                <w:szCs w:val="20"/>
              </w:rPr>
              <w:t>и консервативном.</w:t>
            </w:r>
          </w:p>
          <w:p w:rsidR="00AB60B2" w:rsidRPr="00DC04C7" w:rsidRDefault="009A5F79" w:rsidP="00BC055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C04C7">
              <w:rPr>
                <w:rStyle w:val="af1"/>
                <w:rFonts w:ascii="Times New Roman" w:hAnsi="Times New Roman"/>
                <w:bCs/>
                <w:color w:val="auto"/>
                <w:sz w:val="20"/>
                <w:szCs w:val="20"/>
              </w:rPr>
              <w:t xml:space="preserve">Пояснительная записка к прогнозу (приложение 2) содержит </w:t>
            </w:r>
            <w:r w:rsidRPr="00DC04C7">
              <w:rPr>
                <w:rFonts w:ascii="Times New Roman" w:hAnsi="Times New Roman" w:cs="Times New Roman"/>
                <w:sz w:val="20"/>
                <w:szCs w:val="20"/>
              </w:rPr>
              <w:t>описание основных тенденций, предпосылок сценариев прогноза, особенностей вариантов</w:t>
            </w:r>
            <w:r w:rsidRPr="00DC04C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включая степени рисков, </w:t>
            </w:r>
          </w:p>
          <w:p w:rsidR="009A5F79" w:rsidRPr="00DC04C7" w:rsidRDefault="009A5F79" w:rsidP="00BC055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C04C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 также</w:t>
            </w:r>
            <w:r w:rsidRPr="00DC04C7">
              <w:rPr>
                <w:rFonts w:ascii="Times New Roman" w:hAnsi="Times New Roman" w:cs="Times New Roman"/>
                <w:sz w:val="20"/>
                <w:szCs w:val="20"/>
              </w:rPr>
              <w:t xml:space="preserve"> сравнительную информацию темпов роста в разрезе вариантов</w:t>
            </w:r>
            <w:r w:rsidRPr="00DC04C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:rsidR="009A5F79" w:rsidRPr="00DC04C7" w:rsidRDefault="009A5F79" w:rsidP="00BC0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C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Данные тенденции и предпосылки </w:t>
            </w:r>
            <w:r w:rsidRPr="00DC04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соответствуют предусмотренным </w:t>
            </w:r>
            <w:r w:rsidRPr="00DC04C7">
              <w:rPr>
                <w:rFonts w:ascii="Times New Roman" w:hAnsi="Times New Roman" w:cs="Times New Roman"/>
                <w:sz w:val="20"/>
                <w:szCs w:val="20"/>
              </w:rPr>
              <w:t>сценарными условиями функционирования экономики</w:t>
            </w:r>
            <w:r w:rsidRPr="00DC04C7">
              <w:rPr>
                <w:rStyle w:val="af1"/>
                <w:rFonts w:ascii="Times New Roman" w:eastAsiaTheme="majorEastAsia" w:hAnsi="Times New Roman"/>
                <w:color w:val="auto"/>
                <w:sz w:val="20"/>
                <w:szCs w:val="20"/>
              </w:rPr>
              <w:t xml:space="preserve">, прогнозом социально-экономического развития </w:t>
            </w:r>
            <w:r w:rsidR="00A96DFE" w:rsidRPr="00DC04C7">
              <w:rPr>
                <w:rStyle w:val="af1"/>
                <w:rFonts w:ascii="Times New Roman" w:eastAsiaTheme="majorEastAsia" w:hAnsi="Times New Roman"/>
                <w:color w:val="auto"/>
                <w:sz w:val="20"/>
                <w:szCs w:val="20"/>
              </w:rPr>
              <w:t>Российской Федерации</w:t>
            </w:r>
            <w:r w:rsidRPr="00DC04C7">
              <w:rPr>
                <w:rStyle w:val="af1"/>
                <w:rFonts w:ascii="Times New Roman" w:eastAsiaTheme="majorEastAsia" w:hAnsi="Times New Roman"/>
                <w:color w:val="auto"/>
                <w:sz w:val="20"/>
                <w:szCs w:val="20"/>
              </w:rPr>
              <w:t xml:space="preserve">, разработанным Министерством экономического развития </w:t>
            </w:r>
            <w:r w:rsidR="00A96DFE" w:rsidRPr="00DC04C7">
              <w:rPr>
                <w:rStyle w:val="af1"/>
                <w:rFonts w:ascii="Times New Roman" w:eastAsiaTheme="majorEastAsia" w:hAnsi="Times New Roman"/>
                <w:color w:val="auto"/>
                <w:sz w:val="20"/>
                <w:szCs w:val="20"/>
              </w:rPr>
              <w:t>Российской Федерации</w:t>
            </w:r>
            <w:r w:rsidRPr="00DC04C7">
              <w:rPr>
                <w:rStyle w:val="af1"/>
                <w:rFonts w:ascii="Times New Roman" w:eastAsiaTheme="majorEastAsia" w:hAnsi="Times New Roman"/>
                <w:color w:val="auto"/>
                <w:sz w:val="20"/>
                <w:szCs w:val="20"/>
              </w:rPr>
              <w:t xml:space="preserve">, </w:t>
            </w:r>
            <w:r w:rsidRPr="00DC04C7">
              <w:rPr>
                <w:rFonts w:ascii="Times New Roman" w:hAnsi="Times New Roman" w:cs="Times New Roman"/>
                <w:sz w:val="20"/>
                <w:szCs w:val="20"/>
              </w:rPr>
              <w:t>прогнозом Банка России, прогнозом социально-экономического развития Ханты-Мансийского автономного округа – Югры на 2026 год и на плановый период 2027 – 2028 годов.</w:t>
            </w:r>
          </w:p>
          <w:p w:rsidR="009A5F79" w:rsidRPr="00DC04C7" w:rsidRDefault="009A5F79" w:rsidP="003F2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C7">
              <w:rPr>
                <w:rFonts w:ascii="Times New Roman" w:hAnsi="Times New Roman" w:cs="Times New Roman"/>
                <w:sz w:val="20"/>
                <w:szCs w:val="20"/>
              </w:rPr>
              <w:t>Базовый вариант прогноза рекомендован для формирования проекта бюджета города на 2026 финансовый год и на плановый период 2027 – 2028 годов, так как учитывает эффективную реализацию мер экономической политики, сбалансированную денежно-кредитную политику, предусматривающую необходимость в финансовых ресурсах для экономического развития, что, в свою очередь, позволит сформировать и сбалансированный бюджет, учитывающий выполнение всех социальных обязательств, реализацию национальных проектов, создание условий для устойчивого экономического роста</w:t>
            </w:r>
          </w:p>
        </w:tc>
      </w:tr>
      <w:tr w:rsidR="00FC15D3" w:rsidRPr="003E74A3" w:rsidTr="00545207">
        <w:tc>
          <w:tcPr>
            <w:tcW w:w="560" w:type="dxa"/>
            <w:vMerge w:val="restart"/>
          </w:tcPr>
          <w:p w:rsidR="00FC15D3" w:rsidRPr="003E74A3" w:rsidRDefault="00FC15D3" w:rsidP="00F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4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6" w:type="dxa"/>
            <w:vMerge w:val="restart"/>
          </w:tcPr>
          <w:p w:rsidR="00FC15D3" w:rsidRPr="003E74A3" w:rsidRDefault="00FC15D3" w:rsidP="00F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4A3">
              <w:rPr>
                <w:rFonts w:ascii="Times New Roman" w:hAnsi="Times New Roman" w:cs="Times New Roman"/>
                <w:sz w:val="20"/>
                <w:szCs w:val="20"/>
              </w:rPr>
              <w:t>07.10.2025</w:t>
            </w:r>
          </w:p>
        </w:tc>
        <w:tc>
          <w:tcPr>
            <w:tcW w:w="1693" w:type="dxa"/>
            <w:vMerge w:val="restart"/>
          </w:tcPr>
          <w:p w:rsidR="00FC15D3" w:rsidRPr="003E74A3" w:rsidRDefault="00FC15D3" w:rsidP="00FB3E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4A3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бюджетное учреждения науки «Вологодский </w:t>
            </w:r>
            <w:r w:rsidRPr="003E74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научный центр Российской Академии наук»</w:t>
            </w:r>
          </w:p>
        </w:tc>
        <w:tc>
          <w:tcPr>
            <w:tcW w:w="880" w:type="dxa"/>
          </w:tcPr>
          <w:p w:rsidR="00FC15D3" w:rsidRPr="003E74A3" w:rsidRDefault="00FC15D3" w:rsidP="00F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4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278" w:type="dxa"/>
          </w:tcPr>
          <w:p w:rsidR="00FC15D3" w:rsidRPr="00DC04C7" w:rsidRDefault="00FC15D3" w:rsidP="00817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C7">
              <w:rPr>
                <w:rFonts w:ascii="Times New Roman" w:hAnsi="Times New Roman" w:cs="Times New Roman"/>
                <w:sz w:val="20"/>
                <w:szCs w:val="20"/>
              </w:rPr>
              <w:t>В приложении 1 к документу видится желательным учесть следующие аспекты:</w:t>
            </w:r>
          </w:p>
          <w:p w:rsidR="00FC15D3" w:rsidRPr="003E74A3" w:rsidRDefault="00200815" w:rsidP="00817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4C7">
              <w:rPr>
                <w:rFonts w:ascii="Times New Roman" w:hAnsi="Times New Roman" w:cs="Times New Roman"/>
                <w:sz w:val="20"/>
                <w:szCs w:val="20"/>
              </w:rPr>
              <w:t xml:space="preserve">2.1. </w:t>
            </w:r>
            <w:r w:rsidR="00FC15D3" w:rsidRPr="00DC04C7">
              <w:rPr>
                <w:rFonts w:ascii="Times New Roman" w:hAnsi="Times New Roman" w:cs="Times New Roman"/>
                <w:sz w:val="20"/>
                <w:szCs w:val="20"/>
              </w:rPr>
              <w:t xml:space="preserve">Скорректировать наименование социальных индикаторов «Соотношение прожиточного минимума для трудоспособного населения и заработной платы» и «Соотношение прожиточного минимума для пенсионера и </w:t>
            </w:r>
            <w:r w:rsidR="00FC15D3" w:rsidRPr="00DC04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пенсии по старости».  Представляется, что более правильным будет</w:t>
            </w:r>
            <w:r w:rsidR="00FC15D3" w:rsidRPr="003E74A3">
              <w:rPr>
                <w:rFonts w:ascii="Times New Roman" w:hAnsi="Times New Roman" w:cs="Times New Roman"/>
                <w:sz w:val="20"/>
                <w:szCs w:val="20"/>
              </w:rPr>
              <w:t xml:space="preserve"> «Соотношение заработной платы и прожиточного минимума для трудоспособного населения» и «Соотношение пенсии по старости и прожиточного минимума для пенсионера»…</w:t>
            </w:r>
          </w:p>
        </w:tc>
        <w:tc>
          <w:tcPr>
            <w:tcW w:w="5636" w:type="dxa"/>
          </w:tcPr>
          <w:p w:rsidR="00FC15D3" w:rsidRPr="007A3CD4" w:rsidRDefault="00FC15D3" w:rsidP="00AB6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C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Принимается.</w:t>
            </w:r>
          </w:p>
          <w:p w:rsidR="00FC15D3" w:rsidRPr="007A3CD4" w:rsidRDefault="00FC15D3" w:rsidP="00AB6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CD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Наименования показателей, характеризующих соотношение доходов населения с величиной прожиточного минимума, их единица измерения и методика расчета приведены в соответствие с </w:t>
            </w:r>
            <w:r w:rsidRPr="007A3C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официальной статистической методологией расчета показателя «Соотношение среднедушевых денежных </w:t>
            </w:r>
            <w:r w:rsidRPr="007A3CD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доходов</w:t>
            </w:r>
            <w:r w:rsidR="00AB60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A3CD4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населения с величиной прожиточного минимума», утвержденной п</w:t>
            </w:r>
            <w:r w:rsidRPr="007A3CD4">
              <w:rPr>
                <w:rFonts w:ascii="Times New Roman" w:hAnsi="Times New Roman" w:cs="Times New Roman"/>
                <w:sz w:val="20"/>
                <w:szCs w:val="20"/>
              </w:rPr>
              <w:t xml:space="preserve">риказ Росстата от 22.09.2025 № 522 «Об утверждении официальных статистических методологий формирования основных показателей, характеризующих уровень и динамику доходов населения», а также пунктом 1.9.7 Федерального плана статистических работ, утвержденного </w:t>
            </w:r>
            <w:hyperlink w:anchor="sub_0" w:history="1">
              <w:r w:rsidRPr="007A3CD4">
                <w:rPr>
                  <w:rStyle w:val="af1"/>
                  <w:rFonts w:ascii="Times New Roman" w:hAnsi="Times New Roman"/>
                  <w:bCs/>
                  <w:color w:val="auto"/>
                  <w:sz w:val="20"/>
                  <w:szCs w:val="20"/>
                </w:rPr>
                <w:t>распоряжением</w:t>
              </w:r>
            </w:hyperlink>
            <w:r w:rsidRPr="007A3CD4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</w:t>
            </w:r>
            <w:r w:rsidR="00A96DFE" w:rsidRPr="003E74A3">
              <w:rPr>
                <w:rStyle w:val="af1"/>
                <w:rFonts w:ascii="Times New Roman" w:eastAsiaTheme="majorEastAsia" w:hAnsi="Times New Roman"/>
                <w:color w:val="auto"/>
                <w:sz w:val="20"/>
                <w:szCs w:val="20"/>
              </w:rPr>
              <w:t>Р</w:t>
            </w:r>
            <w:r w:rsidR="00A96DFE">
              <w:rPr>
                <w:rStyle w:val="af1"/>
                <w:rFonts w:ascii="Times New Roman" w:eastAsiaTheme="majorEastAsia" w:hAnsi="Times New Roman"/>
                <w:color w:val="auto"/>
                <w:sz w:val="20"/>
                <w:szCs w:val="20"/>
              </w:rPr>
              <w:t xml:space="preserve">оссийской </w:t>
            </w:r>
            <w:r w:rsidR="00A96DFE" w:rsidRPr="003E74A3">
              <w:rPr>
                <w:rStyle w:val="af1"/>
                <w:rFonts w:ascii="Times New Roman" w:eastAsiaTheme="majorEastAsia" w:hAnsi="Times New Roman"/>
                <w:color w:val="auto"/>
                <w:sz w:val="20"/>
                <w:szCs w:val="20"/>
              </w:rPr>
              <w:t>Ф</w:t>
            </w:r>
            <w:r w:rsidR="00A96DFE">
              <w:rPr>
                <w:rStyle w:val="af1"/>
                <w:rFonts w:ascii="Times New Roman" w:eastAsiaTheme="majorEastAsia" w:hAnsi="Times New Roman"/>
                <w:color w:val="auto"/>
                <w:sz w:val="20"/>
                <w:szCs w:val="20"/>
              </w:rPr>
              <w:t>едерации</w:t>
            </w:r>
            <w:r w:rsidRPr="007A3CD4">
              <w:rPr>
                <w:rFonts w:ascii="Times New Roman" w:hAnsi="Times New Roman" w:cs="Times New Roman"/>
                <w:sz w:val="20"/>
                <w:szCs w:val="20"/>
              </w:rPr>
              <w:t xml:space="preserve"> от 06.05.2008 № 671-р</w:t>
            </w:r>
          </w:p>
        </w:tc>
      </w:tr>
      <w:tr w:rsidR="00FC15D3" w:rsidRPr="00BD08A8" w:rsidTr="00545207">
        <w:tc>
          <w:tcPr>
            <w:tcW w:w="560" w:type="dxa"/>
            <w:vMerge/>
          </w:tcPr>
          <w:p w:rsidR="00FC15D3" w:rsidRPr="003E74A3" w:rsidRDefault="00FC15D3" w:rsidP="00F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FC15D3" w:rsidRPr="003E74A3" w:rsidRDefault="00FC15D3" w:rsidP="00F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FC15D3" w:rsidRPr="003E74A3" w:rsidRDefault="00FC15D3" w:rsidP="00FB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5D3" w:rsidRPr="00BD08A8" w:rsidRDefault="00FC15D3" w:rsidP="00F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78" w:type="dxa"/>
          </w:tcPr>
          <w:p w:rsidR="00FC15D3" w:rsidRPr="00BD08A8" w:rsidRDefault="00FC15D3" w:rsidP="00AF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В приложении 1 к документу видится желательным учесть следующие </w:t>
            </w:r>
            <w:proofErr w:type="gramStart"/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аспекты:</w:t>
            </w:r>
            <w:r w:rsidR="00545207" w:rsidRPr="00BD08A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proofErr w:type="gramEnd"/>
          </w:p>
          <w:p w:rsidR="00FC15D3" w:rsidRPr="00BD08A8" w:rsidRDefault="00200815" w:rsidP="00AF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2.2. У</w:t>
            </w:r>
            <w:r w:rsidR="00FC15D3"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точнить корректность сохранения в базовом и консервативном сценариях прогнозных значений такого показателя, как «протяженность тепловых и паровых сетей в двухтрубном исчислении». Представляется, что на фоне прогнозируемого роста общей площади жилищного фонда (например, в </w:t>
            </w:r>
            <w:r w:rsidR="00FC15D3" w:rsidRPr="00BD08A8"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базовом сценарии в 2025—2028 гг. с 9607,6 до 10446,9 тыс. кв. метров) протяженность инженерных сетей указанного вида должна также вырасти.</w:t>
            </w:r>
            <w:r w:rsidR="00FC15D3" w:rsidRPr="00BD08A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36" w:type="dxa"/>
          </w:tcPr>
          <w:p w:rsidR="00FC15D3" w:rsidRPr="00BD08A8" w:rsidRDefault="00FC15D3" w:rsidP="0047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Принимается.</w:t>
            </w:r>
          </w:p>
          <w:p w:rsidR="00FC15D3" w:rsidRPr="00BD08A8" w:rsidRDefault="00FC15D3" w:rsidP="0047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«Протяженность тепловых и паровых сетей в двухтрубном исчислении» на среднесрочный период откорректировано с учетом планов по вводу в эксплуатацию инженерных сетей (к концу 2028 года их протяженность составит 345,5 км или 101% к уровню 2025 года)</w:t>
            </w:r>
          </w:p>
        </w:tc>
      </w:tr>
      <w:tr w:rsidR="00FC15D3" w:rsidRPr="00BD08A8" w:rsidTr="00545207">
        <w:tc>
          <w:tcPr>
            <w:tcW w:w="560" w:type="dxa"/>
            <w:vMerge/>
          </w:tcPr>
          <w:p w:rsidR="00FC15D3" w:rsidRPr="00BD08A8" w:rsidRDefault="00FC15D3" w:rsidP="00F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FC15D3" w:rsidRPr="00BD08A8" w:rsidRDefault="00FC15D3" w:rsidP="00F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FC15D3" w:rsidRPr="00BD08A8" w:rsidRDefault="00FC15D3" w:rsidP="00FB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C15D3" w:rsidRPr="00BD08A8" w:rsidRDefault="00FC15D3" w:rsidP="00FB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78" w:type="dxa"/>
          </w:tcPr>
          <w:p w:rsidR="00FC15D3" w:rsidRPr="00BD08A8" w:rsidRDefault="00FC15D3" w:rsidP="005538B2">
            <w:pPr>
              <w:rPr>
                <w:sz w:val="20"/>
                <w:szCs w:val="20"/>
              </w:rPr>
            </w:pPr>
            <w:r w:rsidRPr="00BD08A8">
              <w:rPr>
                <w:rFonts w:ascii="Times New Roman" w:eastAsia="Times New Roman" w:hAnsi="Times New Roman" w:cs="Times New Roman"/>
                <w:sz w:val="20"/>
                <w:szCs w:val="20"/>
              </w:rPr>
              <w:t>В приложении 2 к документу желательно уточнить формулировку тезиса «со стороны внешних условий ключевыми рисками являются усиление политики протекционизма, эскалация геополитической напряженности», относящегося к сфере промышленного производства.</w:t>
            </w:r>
          </w:p>
          <w:p w:rsidR="00FC15D3" w:rsidRPr="00BD08A8" w:rsidRDefault="00FC15D3" w:rsidP="005538B2">
            <w:pPr>
              <w:rPr>
                <w:sz w:val="20"/>
                <w:szCs w:val="20"/>
              </w:rPr>
            </w:pPr>
            <w:r w:rsidRPr="00BD08A8">
              <w:rPr>
                <w:rFonts w:ascii="Times New Roman" w:eastAsia="Times New Roman" w:hAnsi="Times New Roman" w:cs="Times New Roman"/>
                <w:sz w:val="20"/>
                <w:szCs w:val="20"/>
              </w:rPr>
              <w:t>Если речь идет о политике протекционизма, проводимой в России (т.е. о внешней среде по отношению к городу Сургуту), то она является скорее не риском, а возможностью для развития российских регионов и городов, их выхода на внутренние и внешние рынки.</w:t>
            </w:r>
          </w:p>
          <w:p w:rsidR="00FC15D3" w:rsidRPr="00BD08A8" w:rsidRDefault="00FC15D3" w:rsidP="006505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eastAsia="Times New Roman" w:hAnsi="Times New Roman" w:cs="Times New Roman"/>
                <w:sz w:val="20"/>
                <w:szCs w:val="20"/>
              </w:rPr>
              <w:t>Если речь идет о политике протекционизма, проводимой за рубежом (т.е. о внешней среде по отношению к России в целом), то это тоже можно воспринимать не только как риск, но и как возможность развития внутреннего рынка страны, экономики предложения, которые в настоящее время рассматриваются в качестве стратегических приоритетов развития страны на федеральном уровне</w:t>
            </w:r>
          </w:p>
        </w:tc>
        <w:tc>
          <w:tcPr>
            <w:tcW w:w="5636" w:type="dxa"/>
          </w:tcPr>
          <w:p w:rsidR="00FC15D3" w:rsidRPr="00BD08A8" w:rsidRDefault="00FC15D3" w:rsidP="0047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Принимается.</w:t>
            </w:r>
          </w:p>
          <w:p w:rsidR="00FC15D3" w:rsidRPr="00BD08A8" w:rsidRDefault="00FC15D3" w:rsidP="0047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Рассматриваемая тенденция развития промышленного производства на среднесрочный период изложена в следующей редакции:</w:t>
            </w:r>
          </w:p>
          <w:p w:rsidR="00FC15D3" w:rsidRPr="00BD08A8" w:rsidRDefault="00FC15D3" w:rsidP="00470E93">
            <w:pPr>
              <w:widowControl w:val="0"/>
              <w:pBdr>
                <w:top w:val="single" w:sz="4" w:space="0" w:color="FFFFFF"/>
                <w:left w:val="single" w:sz="4" w:space="0" w:color="FFFFFF"/>
                <w:bottom w:val="single" w:sz="4" w:space="7" w:color="FFFFFF"/>
                <w:right w:val="single" w:sz="4" w:space="2" w:color="FFFFFF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«- со стороны внешних условий ключевыми факторами являются усиление политики протекционизма, что, в свою очередь, </w:t>
            </w:r>
            <w:r w:rsidR="003E74A3"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усилит </w:t>
            </w: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возможност</w:t>
            </w:r>
            <w:r w:rsidR="003E74A3" w:rsidRPr="00BD08A8">
              <w:rPr>
                <w:rFonts w:ascii="Times New Roman" w:hAnsi="Times New Roman" w:cs="Times New Roman"/>
                <w:sz w:val="20"/>
                <w:szCs w:val="20"/>
              </w:rPr>
              <w:t>и для</w:t>
            </w: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внутреннего рынка;»</w:t>
            </w:r>
          </w:p>
          <w:p w:rsidR="00FC15D3" w:rsidRPr="00BD08A8" w:rsidRDefault="00FC15D3" w:rsidP="00470E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4A3" w:rsidRPr="00BD08A8" w:rsidTr="00545207">
        <w:tc>
          <w:tcPr>
            <w:tcW w:w="560" w:type="dxa"/>
            <w:vMerge w:val="restart"/>
          </w:tcPr>
          <w:p w:rsidR="003E74A3" w:rsidRPr="00BD08A8" w:rsidRDefault="003E74A3" w:rsidP="00FC1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6" w:type="dxa"/>
            <w:vMerge w:val="restart"/>
          </w:tcPr>
          <w:p w:rsidR="003E74A3" w:rsidRPr="00BD08A8" w:rsidRDefault="003E74A3" w:rsidP="00FC1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07.10.2025</w:t>
            </w:r>
          </w:p>
        </w:tc>
        <w:tc>
          <w:tcPr>
            <w:tcW w:w="1693" w:type="dxa"/>
            <w:vMerge w:val="restart"/>
          </w:tcPr>
          <w:p w:rsidR="003E74A3" w:rsidRPr="00BD08A8" w:rsidRDefault="003E74A3" w:rsidP="00FC1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Бюджетное учреждение высшего образования </w:t>
            </w:r>
            <w:r w:rsidRPr="00BD08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Ханты-Мансийского автономного округа - Югры «Югорский государственный университет»</w:t>
            </w:r>
          </w:p>
        </w:tc>
        <w:tc>
          <w:tcPr>
            <w:tcW w:w="880" w:type="dxa"/>
          </w:tcPr>
          <w:p w:rsidR="003E74A3" w:rsidRPr="00BD08A8" w:rsidRDefault="003E74A3" w:rsidP="00FC1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278" w:type="dxa"/>
          </w:tcPr>
          <w:p w:rsidR="003E74A3" w:rsidRPr="00BD08A8" w:rsidRDefault="003F3286" w:rsidP="00BA7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E74A3" w:rsidRPr="00BD08A8">
              <w:rPr>
                <w:rFonts w:ascii="Times New Roman" w:hAnsi="Times New Roman" w:cs="Times New Roman"/>
                <w:sz w:val="20"/>
                <w:szCs w:val="20"/>
              </w:rPr>
              <w:t>редусмотренные в базовом варианте за 2028 год темпы роста инвестиций в основной капитал в сопоставимых ценах по крупным и средним организациям (2028 г. - 109,9%) не согласованы с показателем</w:t>
            </w:r>
            <w:r w:rsidR="003E74A3" w:rsidRPr="00BD08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r w:rsidR="003E74A3"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Индекс </w:t>
            </w:r>
            <w:r w:rsidR="003E74A3" w:rsidRPr="00BD08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промышленного производства по крупным и средним организациям» (2028 г. - 104,8%). </w:t>
            </w:r>
          </w:p>
          <w:p w:rsidR="003E74A3" w:rsidRPr="00BD08A8" w:rsidRDefault="003E74A3" w:rsidP="00FC1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6" w:type="dxa"/>
          </w:tcPr>
          <w:p w:rsidR="003E74A3" w:rsidRPr="00BD08A8" w:rsidRDefault="003E74A3" w:rsidP="00FC1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Отклоняется.</w:t>
            </w:r>
          </w:p>
          <w:p w:rsidR="003E74A3" w:rsidRPr="00BD08A8" w:rsidRDefault="003E74A3" w:rsidP="00AB6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Отраженные в прогнозе темпы роста инвестиций сформированы исходя из инвестиционной деятельности организаций, осуществляемой на территории города.</w:t>
            </w:r>
          </w:p>
          <w:p w:rsidR="003E74A3" w:rsidRPr="00BD08A8" w:rsidRDefault="003E74A3" w:rsidP="00AB6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 этом, темпы роста промышленного производства отражают значительный объем промышленного производства, осуществляемого за пределами субъекта </w:t>
            </w:r>
            <w:r w:rsidR="00A96DFE" w:rsidRPr="00BD08A8">
              <w:rPr>
                <w:rStyle w:val="af1"/>
                <w:rFonts w:ascii="Times New Roman" w:eastAsiaTheme="majorEastAsia" w:hAnsi="Times New Roman"/>
                <w:color w:val="auto"/>
                <w:sz w:val="20"/>
                <w:szCs w:val="20"/>
              </w:rPr>
              <w:t>Российской Федерации</w:t>
            </w: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 из давальческого сырья, добываемого на территории субъекта </w:t>
            </w:r>
            <w:r w:rsidR="00A96DFE" w:rsidRPr="00BD08A8">
              <w:rPr>
                <w:rStyle w:val="af1"/>
                <w:rFonts w:ascii="Times New Roman" w:eastAsiaTheme="majorEastAsia" w:hAnsi="Times New Roman"/>
                <w:color w:val="auto"/>
                <w:sz w:val="20"/>
                <w:szCs w:val="20"/>
              </w:rPr>
              <w:t>Российской Федерации</w:t>
            </w: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E74A3" w:rsidRPr="00BD08A8" w:rsidTr="00545207">
        <w:tc>
          <w:tcPr>
            <w:tcW w:w="560" w:type="dxa"/>
            <w:vMerge/>
          </w:tcPr>
          <w:p w:rsidR="003E74A3" w:rsidRPr="00BD08A8" w:rsidRDefault="003E74A3" w:rsidP="00FC1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3E74A3" w:rsidRPr="00BD08A8" w:rsidRDefault="003E74A3" w:rsidP="00FC1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3E74A3" w:rsidRPr="00BD08A8" w:rsidRDefault="003E74A3" w:rsidP="00FC1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3E74A3" w:rsidRPr="00BD08A8" w:rsidRDefault="003E74A3" w:rsidP="00FC1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78" w:type="dxa"/>
          </w:tcPr>
          <w:p w:rsidR="003E74A3" w:rsidRPr="00BD08A8" w:rsidRDefault="003E74A3" w:rsidP="00EF0703">
            <w:pPr>
              <w:ind w:lef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Соотношение прожиточного минимума для трудоспособного населения и заработной платы» (методика расчета исходя из названия: деление прожиточного минимума на среднемесячную номинальную заработную плату) – значения показателя не подтверждены... </w:t>
            </w:r>
          </w:p>
          <w:p w:rsidR="003E74A3" w:rsidRPr="00BD08A8" w:rsidRDefault="003E74A3" w:rsidP="00EF0703">
            <w:pPr>
              <w:ind w:lef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Таким образом, коэффициент за 2025 год будет составлять   0,15 (23165/ 156 776,9). Значение обратного показателя (соотношение средней заработной платы и прожиточного минимума) составит 6,8. (не соответствует прогнозному значению).</w:t>
            </w:r>
          </w:p>
          <w:p w:rsidR="003E74A3" w:rsidRPr="00BD08A8" w:rsidRDefault="003E74A3" w:rsidP="00073194">
            <w:pPr>
              <w:ind w:lef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«Соотношение прожиточного минимума для пенсионера и пенсии по старости» (методика расчета исходя из названия: деление прожиточного минимума на средний размер назначенных пенсий по старости) - значения показателя не подтверждены…</w:t>
            </w:r>
          </w:p>
          <w:p w:rsidR="003E74A3" w:rsidRPr="00BD08A8" w:rsidRDefault="003E74A3" w:rsidP="00073194">
            <w:pPr>
              <w:ind w:lef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Таким образом, коэффициент за 2025 год будет составлять   0,51 (18334/ 36 069,2). Значение обратного показателя (соотношение среднего размера пенсии по старости и прожиточного минимума для пенсионера) составит 1,97 (не соответствует прогнозному значению)</w:t>
            </w:r>
          </w:p>
        </w:tc>
        <w:tc>
          <w:tcPr>
            <w:tcW w:w="5636" w:type="dxa"/>
          </w:tcPr>
          <w:p w:rsidR="003E74A3" w:rsidRPr="00BD08A8" w:rsidRDefault="003E74A3" w:rsidP="00FC1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Принимается.</w:t>
            </w:r>
          </w:p>
          <w:p w:rsidR="00BD08A8" w:rsidRDefault="003E74A3" w:rsidP="00E51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Наименования показателей, характеризующих соотношение доходов населения с величиной прожиточного минимума, их единица измерения</w:t>
            </w:r>
            <w:r w:rsidR="003F3286" w:rsidRPr="00BD08A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 методика расчета </w:t>
            </w:r>
            <w:r w:rsidR="003F3286"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и значения </w:t>
            </w: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приведены </w:t>
            </w:r>
          </w:p>
          <w:p w:rsidR="003F3286" w:rsidRPr="00BD08A8" w:rsidRDefault="003E74A3" w:rsidP="00E51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соответствие с </w:t>
            </w:r>
            <w:r w:rsidRPr="00BD08A8">
              <w:rPr>
                <w:rFonts w:ascii="Times New Roman" w:hAnsi="Times New Roman" w:cs="Times New Roman"/>
                <w:bCs/>
                <w:sz w:val="20"/>
                <w:szCs w:val="20"/>
              </w:rPr>
              <w:t>официальной статистической методологией расчета показателя «Соотношение среднедушевых денежных доходов</w:t>
            </w:r>
            <w:r w:rsidR="00E5118C" w:rsidRPr="00BD08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D08A8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населения с величиной прожиточного минимума», утвержденной п</w:t>
            </w: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риказ Росстата от 22.09.2025 № 522 «Об утверждении официальных статистических методологий формирования основных показателей, характеризующих уровень и динамику доходов населения», а также пунктом 1.9.7 Федерального плана статистических работ, утвержденного </w:t>
            </w:r>
            <w:hyperlink w:anchor="sub_0" w:history="1">
              <w:r w:rsidRPr="00BD08A8">
                <w:rPr>
                  <w:rStyle w:val="af1"/>
                  <w:rFonts w:ascii="Times New Roman" w:hAnsi="Times New Roman"/>
                  <w:bCs/>
                  <w:color w:val="auto"/>
                  <w:sz w:val="20"/>
                  <w:szCs w:val="20"/>
                </w:rPr>
                <w:t>распоряжением</w:t>
              </w:r>
            </w:hyperlink>
            <w:r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</w:t>
            </w:r>
            <w:r w:rsidR="00A96DFE" w:rsidRPr="00BD08A8">
              <w:rPr>
                <w:rStyle w:val="af1"/>
                <w:rFonts w:ascii="Times New Roman" w:eastAsiaTheme="majorEastAsia" w:hAnsi="Times New Roman"/>
                <w:color w:val="auto"/>
                <w:sz w:val="20"/>
                <w:szCs w:val="20"/>
              </w:rPr>
              <w:t>Российской Федерации</w:t>
            </w: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 от 06.05.2008 № 671-р</w:t>
            </w:r>
          </w:p>
        </w:tc>
      </w:tr>
      <w:tr w:rsidR="003E74A3" w:rsidRPr="00BD08A8" w:rsidTr="00545207">
        <w:tc>
          <w:tcPr>
            <w:tcW w:w="560" w:type="dxa"/>
            <w:vMerge/>
          </w:tcPr>
          <w:p w:rsidR="003E74A3" w:rsidRPr="00BD08A8" w:rsidRDefault="003E74A3" w:rsidP="00FC1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3E74A3" w:rsidRPr="00BD08A8" w:rsidRDefault="003E74A3" w:rsidP="00FC1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3E74A3" w:rsidRPr="00BD08A8" w:rsidRDefault="003E74A3" w:rsidP="00FC1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3E74A3" w:rsidRPr="00BD08A8" w:rsidRDefault="003E74A3" w:rsidP="00FC1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78" w:type="dxa"/>
          </w:tcPr>
          <w:p w:rsidR="003E74A3" w:rsidRPr="00BD08A8" w:rsidRDefault="003E74A3" w:rsidP="00073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Одним из основных факторов роста экономики является рост потребительского спроса. Внутренний потребительский спрос как фактор экономического роста в соответствии со среднесрочным прогнозом основывается на восстановлении уровня доходов населения города Сургута. В среднесрочной перспективе реальные денежные доходы населения будут расти темпами не более чем 101,5-102,4% в год. В этой связи необходимо отметить, что на протяжении всего прогнозного периода динамика реальных денежных доходов населения более сдержанная, чем динамика показателей оборота розничной торговли (109,0% - 2026г., 107,8% -2027г.,</w:t>
            </w:r>
            <w:r w:rsidRPr="00BD08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107,8% 2028г.)</w:t>
            </w:r>
          </w:p>
          <w:p w:rsidR="003E74A3" w:rsidRPr="00BD08A8" w:rsidRDefault="003E74A3" w:rsidP="00FC1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6" w:type="dxa"/>
          </w:tcPr>
          <w:p w:rsidR="003E74A3" w:rsidRPr="00BD08A8" w:rsidRDefault="003E74A3" w:rsidP="00412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Отклоняется.</w:t>
            </w:r>
          </w:p>
          <w:p w:rsidR="00BD08A8" w:rsidRDefault="00017374" w:rsidP="00412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В целях корректного сравнения необходимо проводить с</w:t>
            </w:r>
            <w:r w:rsidR="003E74A3"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опоставление темпов роста реальных доходов населения </w:t>
            </w:r>
          </w:p>
          <w:p w:rsidR="003E74A3" w:rsidRPr="00BD08A8" w:rsidRDefault="003E74A3" w:rsidP="00412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со среднедушевым потреблением в натуральном выражении (товарной массе).</w:t>
            </w:r>
          </w:p>
          <w:p w:rsidR="00BD08A8" w:rsidRDefault="003E74A3" w:rsidP="00412A7D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Заложенные в прогнозе на среднесрочный период темпы роста покупательной способности доходов населения и </w:t>
            </w:r>
            <w:r w:rsidRPr="00BD08A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уровень потребительской активности </w:t>
            </w: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обеспечат рост среднедушевого потребления в натуральном выражении (товарной массе)</w:t>
            </w:r>
            <w:r w:rsidRPr="00BD08A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:rsidR="003E74A3" w:rsidRPr="00BD08A8" w:rsidRDefault="003E74A3" w:rsidP="00412A7D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 обоим вариантам прогноза, но он не превысит темпы роста реальных доходов населения.</w:t>
            </w:r>
          </w:p>
          <w:p w:rsidR="003E74A3" w:rsidRPr="00BD08A8" w:rsidRDefault="00017374" w:rsidP="00412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Так, т</w:t>
            </w:r>
            <w:r w:rsidR="003E74A3" w:rsidRPr="00BD08A8">
              <w:rPr>
                <w:rFonts w:ascii="Times New Roman" w:hAnsi="Times New Roman" w:cs="Times New Roman"/>
                <w:sz w:val="20"/>
                <w:szCs w:val="20"/>
              </w:rPr>
              <w:t>емпы роста по консервативному и базовому вариантам прогноза за среднесрочный период к уровню 2025 года соответственно:</w:t>
            </w:r>
          </w:p>
          <w:p w:rsidR="003E74A3" w:rsidRPr="00BD08A8" w:rsidRDefault="003E74A3" w:rsidP="00412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реальные денежные доходы населения (индекс роста реального среднедушевого денежного дохода населения) – 103,3 / 106,3%</w:t>
            </w:r>
            <w:r w:rsidR="00017374"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 (2026 год – 100,1 / 101,5%, 2027 год – 101,6 / 102,3%, 2028 год – 101,7 / 102,3%);</w:t>
            </w:r>
          </w:p>
          <w:p w:rsidR="0025170D" w:rsidRPr="00BD08A8" w:rsidRDefault="003E74A3" w:rsidP="00251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среднедушевого потребления в натуральном выражении (товарной массе) – 102,2% / 104,8%</w:t>
            </w:r>
            <w:r w:rsidR="0025170D"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 (2026 год – 100,4 / 101,4%, 2027 год – 100,8 / 101,6%, 2028 год – 101 / 101,7%).</w:t>
            </w:r>
          </w:p>
          <w:p w:rsidR="00017374" w:rsidRPr="00BD08A8" w:rsidRDefault="00017374" w:rsidP="00017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В анализе приводится темп роста номинальных объемов розничной торговли, при этом индекс физического объема (товарная масса) составит по базовому варианту: 2026 год – 103,5%, 2027 год – 103,6%, 2028 год – 103,6%.</w:t>
            </w:r>
          </w:p>
          <w:p w:rsidR="00017374" w:rsidRPr="00BD08A8" w:rsidRDefault="00017374" w:rsidP="00412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Данные темпы роста учитывают не только рост среднедушевого потребления, но и увеличение общ</w:t>
            </w:r>
            <w:r w:rsidR="0025170D" w:rsidRPr="00BD08A8">
              <w:rPr>
                <w:rFonts w:ascii="Times New Roman" w:hAnsi="Times New Roman" w:cs="Times New Roman"/>
                <w:sz w:val="20"/>
                <w:szCs w:val="20"/>
              </w:rPr>
              <w:t>ей численности населения города</w:t>
            </w:r>
          </w:p>
        </w:tc>
      </w:tr>
      <w:tr w:rsidR="003E74A3" w:rsidRPr="00BD08A8" w:rsidTr="00545207">
        <w:tc>
          <w:tcPr>
            <w:tcW w:w="560" w:type="dxa"/>
            <w:vMerge/>
          </w:tcPr>
          <w:p w:rsidR="003E74A3" w:rsidRPr="00BD08A8" w:rsidRDefault="003E74A3" w:rsidP="00FC1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3E74A3" w:rsidRPr="00BD08A8" w:rsidRDefault="003E74A3" w:rsidP="00FC1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3E74A3" w:rsidRPr="00BD08A8" w:rsidRDefault="003E74A3" w:rsidP="00FC1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3E74A3" w:rsidRPr="00BD08A8" w:rsidRDefault="003E74A3" w:rsidP="00FC1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78" w:type="dxa"/>
          </w:tcPr>
          <w:p w:rsidR="003E74A3" w:rsidRPr="00BD08A8" w:rsidRDefault="003E74A3" w:rsidP="00A95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Малое и среднее предпринимательство - второй по значимости сегмент экономики города. Численность занятых в малом бизнесе, включая индивидуальных предпринимателей и </w:t>
            </w:r>
            <w:proofErr w:type="spellStart"/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 за 2024 году, составило 89,3 тыс. человек, к 2028 году рост показателя составляет 122,1% по базовому сценарию. Высокий уровень динамики показателя по сравнению с темпом роста показателей: среднегодовая численность</w:t>
            </w:r>
            <w:r w:rsidRPr="00BD08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занятых в экономике на территории города (108,5%), среднесписочная численность работников крупных и средних организаций (100,2%), среднегодовая численность занятых в организациях муниципальной формы собственности (102,6%). Таким образом, прогнозные значения показателя «Численность занятых в малом бизнесе, включая индивидуальных предпринимателей и </w:t>
            </w:r>
            <w:proofErr w:type="spellStart"/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» на 2027 и 2028 годы   вызывают сомнения на фоне кризисных явлений и роста налоговой нагрузки на бизнес за счет косвенных налогов</w:t>
            </w:r>
          </w:p>
        </w:tc>
        <w:tc>
          <w:tcPr>
            <w:tcW w:w="5636" w:type="dxa"/>
          </w:tcPr>
          <w:p w:rsidR="003E74A3" w:rsidRPr="00BD08A8" w:rsidRDefault="003E74A3" w:rsidP="00C47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Отклоняется.</w:t>
            </w:r>
          </w:p>
          <w:p w:rsidR="003E74A3" w:rsidRPr="00BD08A8" w:rsidRDefault="003E74A3" w:rsidP="00C47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Темп роста численности занятых</w:t>
            </w:r>
            <w:r w:rsidR="00453BDE"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 в экономике</w:t>
            </w: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 в среднесрочном периоде </w:t>
            </w:r>
            <w:r w:rsidR="005C5587"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(2028 год к 2025 году) </w:t>
            </w:r>
            <w:r w:rsidR="00453BDE"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по базовому варианту прогноза </w:t>
            </w: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составит 112,1% </w:t>
            </w:r>
            <w:r w:rsidR="00B13268"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(к уровню 2024 года – 119,7%) </w:t>
            </w: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и обеспечит основной прирост занятости населения.</w:t>
            </w:r>
          </w:p>
          <w:p w:rsidR="003E74A3" w:rsidRPr="00BD08A8" w:rsidRDefault="003E74A3" w:rsidP="00C47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Данная тенденция подкрепляется, в значительной степени, проводимой в последние годы государственной политикой, направленной на всестороннюю поддержку развития данного сектора экономики.</w:t>
            </w:r>
          </w:p>
          <w:p w:rsidR="003E74A3" w:rsidRPr="00BD08A8" w:rsidRDefault="003E74A3" w:rsidP="00F5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территории города </w:t>
            </w:r>
            <w:r w:rsidR="00453BDE"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также </w:t>
            </w: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реализуется муниципальная программа, мероприятия которой направлены на предоставление мер поддержки субъектам </w:t>
            </w:r>
            <w:r w:rsidR="00A96DFE" w:rsidRPr="00BD08A8">
              <w:rPr>
                <w:rFonts w:ascii="Times New Roman" w:hAnsi="Times New Roman" w:cs="Times New Roman"/>
                <w:sz w:val="20"/>
                <w:szCs w:val="20"/>
              </w:rPr>
              <w:t>малого и среднего предпринимательства</w:t>
            </w: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, в первую очередь, финансовой и имущественной.</w:t>
            </w:r>
          </w:p>
          <w:p w:rsidR="003E74A3" w:rsidRPr="00BD08A8" w:rsidRDefault="003E74A3" w:rsidP="00A96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Кроме того, благоприятный деловой климат, интенсивное развитие инфраструктуры, а также высокая покупательная способность населения продолжают оставаться факторами, обеспечивающими высокий уровень значений показателей, характеризующих сектор </w:t>
            </w:r>
            <w:r w:rsidR="00A96DFE" w:rsidRPr="00BD08A8">
              <w:rPr>
                <w:rFonts w:ascii="Times New Roman" w:hAnsi="Times New Roman" w:cs="Times New Roman"/>
                <w:sz w:val="20"/>
                <w:szCs w:val="20"/>
              </w:rPr>
              <w:t>малого и среднего предпринимательства</w:t>
            </w:r>
          </w:p>
        </w:tc>
      </w:tr>
      <w:tr w:rsidR="003E74A3" w:rsidRPr="00BD08A8" w:rsidTr="00545207">
        <w:tc>
          <w:tcPr>
            <w:tcW w:w="560" w:type="dxa"/>
            <w:vMerge/>
          </w:tcPr>
          <w:p w:rsidR="003E74A3" w:rsidRPr="00BD08A8" w:rsidRDefault="003E74A3" w:rsidP="00FC1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3E74A3" w:rsidRPr="00BD08A8" w:rsidRDefault="003E74A3" w:rsidP="00FC1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3E74A3" w:rsidRPr="00BD08A8" w:rsidRDefault="003E74A3" w:rsidP="00FC1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3E74A3" w:rsidRPr="00BD08A8" w:rsidRDefault="003E74A3" w:rsidP="00FC1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78" w:type="dxa"/>
          </w:tcPr>
          <w:p w:rsidR="003E74A3" w:rsidRPr="00BD08A8" w:rsidRDefault="003E74A3" w:rsidP="00BA0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В разделе 8 «Торговля и услуги населению» показатели по обеспеченности имеют отрицательную динамику: «Обеспеченность торговой площадью (на 1 тыс. человек)» – на 107,2 </w:t>
            </w:r>
            <w:proofErr w:type="spellStart"/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., «Обеспеченность предприятиями общественного питания общедоступной сети (на 1 тыс. человек)» – 3,3 посадочных места, «Обеспеченность предприятиями бытового обслуживания (на 1 тыс. </w:t>
            </w:r>
            <w:r w:rsidRPr="00BD08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человек)» – 0,4 посадочных места, «Обеспеченность гостиницами (на 1 тыс. человек)» – нет динамики (10,1)</w:t>
            </w:r>
          </w:p>
        </w:tc>
        <w:tc>
          <w:tcPr>
            <w:tcW w:w="5636" w:type="dxa"/>
          </w:tcPr>
          <w:p w:rsidR="003E74A3" w:rsidRPr="00BD08A8" w:rsidRDefault="003E74A3" w:rsidP="0047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Отклоняется.</w:t>
            </w:r>
          </w:p>
          <w:p w:rsidR="003E74A3" w:rsidRPr="00BD08A8" w:rsidRDefault="003E74A3" w:rsidP="0047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города объектами потребительского рынка значительно превышает нормативный уровень (от 1,2 до 1,7 раз, за исключением объектов бытового обслуживания населения – 102,5%).</w:t>
            </w:r>
          </w:p>
          <w:p w:rsidR="003E74A3" w:rsidRPr="00BD08A8" w:rsidRDefault="003E74A3" w:rsidP="00470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Расширение инфраструктуры потребительского рынка, происходит, в основном, за счет комплексной застройки микрорайонов города.</w:t>
            </w:r>
          </w:p>
          <w:p w:rsidR="00BD08A8" w:rsidRDefault="00037E83" w:rsidP="00037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Отрицательная динамика</w:t>
            </w:r>
            <w:r w:rsidR="003E74A3"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обеспеченности жителей города объектами потребительского рынка обусловлен</w:t>
            </w: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E74A3"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, в основном, опережающими темпами роста численности населения </w:t>
            </w:r>
          </w:p>
          <w:p w:rsidR="003E74A3" w:rsidRPr="00BD08A8" w:rsidRDefault="003E74A3" w:rsidP="00037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по сравнению с темпами роста инфраструктуры</w:t>
            </w:r>
          </w:p>
        </w:tc>
      </w:tr>
      <w:tr w:rsidR="003E74A3" w:rsidRPr="00075553" w:rsidTr="00545207">
        <w:tc>
          <w:tcPr>
            <w:tcW w:w="560" w:type="dxa"/>
            <w:vMerge/>
          </w:tcPr>
          <w:p w:rsidR="003E74A3" w:rsidRPr="00BD08A8" w:rsidRDefault="003E74A3" w:rsidP="00FC1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3E74A3" w:rsidRPr="00BD08A8" w:rsidRDefault="003E74A3" w:rsidP="00FC1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3E74A3" w:rsidRPr="00BD08A8" w:rsidRDefault="003E74A3" w:rsidP="00FC1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3E74A3" w:rsidRPr="00BD08A8" w:rsidRDefault="003E74A3" w:rsidP="00FC1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78" w:type="dxa"/>
          </w:tcPr>
          <w:p w:rsidR="003E74A3" w:rsidRPr="00BD08A8" w:rsidRDefault="003E74A3" w:rsidP="00FC1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При проведении оценки прогнозных показателей была проведена сверка показателей 2024 года (отчетные данные), отраженных в приложении формы № 2-п к проекту постановления Администрации города Сургута </w:t>
            </w:r>
          </w:p>
          <w:p w:rsidR="003E74A3" w:rsidRPr="00BD08A8" w:rsidRDefault="003E74A3" w:rsidP="00FC1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«О прогнозе социально-экономического развития муниципального образования городской округ Сургут Ханты-Мансийского автономного округа – Югры на 2026 год и на плановый период 2027 – 2028 годы», с показателями 2024 года (оценка), отраженных в приложении формы № 2-п к постановлению Администрации города Сургута от 31.10.2024 № 5662 </w:t>
            </w:r>
          </w:p>
          <w:p w:rsidR="008D1F6C" w:rsidRPr="00BD08A8" w:rsidRDefault="003E74A3" w:rsidP="00FC1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«О прогнозе социально-экономического развития муниципального образования городской округ Сургут Ханты-Мансийского автономного округа – Югры на 2025 год и на плановый период 2026 – 2027 годов». В ходе сверки выявле</w:t>
            </w:r>
            <w:r w:rsidR="008D1F6C" w:rsidRPr="00BD08A8">
              <w:rPr>
                <w:rFonts w:ascii="Times New Roman" w:hAnsi="Times New Roman" w:cs="Times New Roman"/>
                <w:sz w:val="20"/>
                <w:szCs w:val="20"/>
              </w:rPr>
              <w:t>но, что отдельные показатели по</w:t>
            </w:r>
          </w:p>
          <w:p w:rsidR="003E74A3" w:rsidRPr="00BD08A8" w:rsidRDefault="003E74A3" w:rsidP="00FC1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фактической оценке 2024 года различаются с прогнозными показателями 2024 года…</w:t>
            </w:r>
          </w:p>
          <w:p w:rsidR="003E74A3" w:rsidRPr="00BD08A8" w:rsidRDefault="003E74A3" w:rsidP="00E237B6">
            <w:pPr>
              <w:ind w:lef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…рекомендуется принять меры по более достоверному и сопоставимому отражению показателей в прогнозе социально-экономического развития муниципального образования городского округа город Сургут на 2025год и на плановый период 2026 и 2028 годов</w:t>
            </w:r>
          </w:p>
        </w:tc>
        <w:tc>
          <w:tcPr>
            <w:tcW w:w="5636" w:type="dxa"/>
          </w:tcPr>
          <w:p w:rsidR="003E74A3" w:rsidRPr="00BD08A8" w:rsidRDefault="003E74A3" w:rsidP="00162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Отклоняется.</w:t>
            </w:r>
          </w:p>
          <w:p w:rsidR="00BD08A8" w:rsidRDefault="00B2665B" w:rsidP="00162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сопоставления предварительной оценки показателей, проведенной в июне – августе 2024 года </w:t>
            </w:r>
          </w:p>
          <w:p w:rsidR="00B2665B" w:rsidRPr="00BD08A8" w:rsidRDefault="00B2665B" w:rsidP="00162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с фактическими значениями данных показателей за 2024 год является некорректным. </w:t>
            </w:r>
          </w:p>
          <w:p w:rsidR="001C68B6" w:rsidRPr="00BD08A8" w:rsidRDefault="0058398D" w:rsidP="00D12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При этом необходимо отметить, с</w:t>
            </w:r>
            <w:r w:rsidR="003E74A3" w:rsidRPr="00BD08A8">
              <w:rPr>
                <w:rFonts w:ascii="Times New Roman" w:hAnsi="Times New Roman" w:cs="Times New Roman"/>
                <w:sz w:val="20"/>
                <w:szCs w:val="20"/>
              </w:rPr>
              <w:t>равнительный анализ фактических значений основных макроэкономических показателей за 2024 год и их предварительных значений (оценк</w:t>
            </w:r>
            <w:r w:rsidR="00BD08A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E74A3" w:rsidRPr="00BD08A8">
              <w:rPr>
                <w:rFonts w:ascii="Times New Roman" w:hAnsi="Times New Roman" w:cs="Times New Roman"/>
                <w:sz w:val="20"/>
                <w:szCs w:val="20"/>
              </w:rPr>
              <w:t>) показ</w:t>
            </w:r>
            <w:r w:rsidR="00453BDE" w:rsidRPr="00BD08A8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r w:rsidR="003E74A3"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, отклонения разместились в диапазоне </w:t>
            </w:r>
          </w:p>
          <w:p w:rsidR="003E74A3" w:rsidRPr="00BD08A8" w:rsidRDefault="003E74A3" w:rsidP="00D12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от -1,6% до 3,8%.</w:t>
            </w:r>
          </w:p>
          <w:p w:rsidR="00BD08A8" w:rsidRDefault="003E74A3" w:rsidP="00D12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Так, например, индекс промышленного производства (объем промышленного производства в сопоставимых ценах) </w:t>
            </w:r>
          </w:p>
          <w:p w:rsidR="003E74A3" w:rsidRPr="00BD08A8" w:rsidRDefault="003E74A3" w:rsidP="00D12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за 2024 год составил 97,5% при предварительной оценке, 99,1%.</w:t>
            </w:r>
          </w:p>
          <w:p w:rsidR="003E74A3" w:rsidRPr="00075553" w:rsidRDefault="003E74A3" w:rsidP="00B2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8A8">
              <w:rPr>
                <w:rFonts w:ascii="Times New Roman" w:hAnsi="Times New Roman" w:cs="Times New Roman"/>
                <w:sz w:val="20"/>
                <w:szCs w:val="20"/>
              </w:rPr>
              <w:t>На отклонения по значениям показателей, характеризующих развитие инфраструктуры, оказывает влияние</w:t>
            </w:r>
            <w:r w:rsidR="00B2665B"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 фактически</w:t>
            </w:r>
            <w:r w:rsidR="00E5118C" w:rsidRPr="00BD08A8">
              <w:rPr>
                <w:rFonts w:ascii="Times New Roman" w:hAnsi="Times New Roman" w:cs="Times New Roman"/>
                <w:sz w:val="20"/>
                <w:szCs w:val="20"/>
              </w:rPr>
              <w:t xml:space="preserve">й ввод объектов в эксплуатацию </w:t>
            </w:r>
            <w:r w:rsidR="00B2665B" w:rsidRPr="00BD08A8">
              <w:rPr>
                <w:rFonts w:ascii="Times New Roman" w:hAnsi="Times New Roman" w:cs="Times New Roman"/>
                <w:sz w:val="20"/>
                <w:szCs w:val="20"/>
              </w:rPr>
              <w:t>не совпадающий с плановыми сроками</w:t>
            </w:r>
          </w:p>
        </w:tc>
      </w:tr>
    </w:tbl>
    <w:p w:rsidR="00610E5C" w:rsidRDefault="00610E5C" w:rsidP="00E634F5">
      <w:pPr>
        <w:spacing w:after="0" w:line="240" w:lineRule="auto"/>
        <w:rPr>
          <w:sz w:val="20"/>
          <w:szCs w:val="20"/>
        </w:rPr>
      </w:pPr>
    </w:p>
    <w:p w:rsidR="00610E5C" w:rsidRPr="00E634F5" w:rsidRDefault="00610E5C" w:rsidP="00E634F5">
      <w:pPr>
        <w:spacing w:after="0" w:line="240" w:lineRule="auto"/>
        <w:rPr>
          <w:sz w:val="20"/>
          <w:szCs w:val="20"/>
        </w:rPr>
      </w:pPr>
    </w:p>
    <w:sectPr w:rsidR="00610E5C" w:rsidRPr="00E634F5" w:rsidSect="00E447F6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6BB" w:rsidRDefault="002B06BB" w:rsidP="00A26ED3">
      <w:pPr>
        <w:spacing w:after="0" w:line="240" w:lineRule="auto"/>
      </w:pPr>
      <w:r>
        <w:separator/>
      </w:r>
    </w:p>
  </w:endnote>
  <w:endnote w:type="continuationSeparator" w:id="0">
    <w:p w:rsidR="002B06BB" w:rsidRDefault="002B06BB" w:rsidP="00A2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6BB" w:rsidRDefault="002B06BB" w:rsidP="00A26ED3">
      <w:pPr>
        <w:spacing w:after="0" w:line="240" w:lineRule="auto"/>
      </w:pPr>
      <w:r>
        <w:separator/>
      </w:r>
    </w:p>
  </w:footnote>
  <w:footnote w:type="continuationSeparator" w:id="0">
    <w:p w:rsidR="002B06BB" w:rsidRDefault="002B06BB" w:rsidP="00A2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3469758"/>
      <w:docPartObj>
        <w:docPartGallery w:val="Page Numbers (Top of Page)"/>
        <w:docPartUnique/>
      </w:docPartObj>
    </w:sdtPr>
    <w:sdtEndPr/>
    <w:sdtContent>
      <w:p w:rsidR="00045D4A" w:rsidRDefault="00045D4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4C7">
          <w:rPr>
            <w:noProof/>
          </w:rPr>
          <w:t>9</w:t>
        </w:r>
        <w:r>
          <w:fldChar w:fldCharType="end"/>
        </w:r>
      </w:p>
    </w:sdtContent>
  </w:sdt>
  <w:p w:rsidR="00045D4A" w:rsidRDefault="00045D4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084E"/>
    <w:multiLevelType w:val="hybridMultilevel"/>
    <w:tmpl w:val="9950F71C"/>
    <w:lvl w:ilvl="0" w:tplc="9D7AF92E">
      <w:start w:val="4"/>
      <w:numFmt w:val="decimal"/>
      <w:lvlText w:val="%1.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6849B8">
      <w:start w:val="1"/>
      <w:numFmt w:val="lowerLetter"/>
      <w:lvlText w:val="%2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12466E">
      <w:start w:val="1"/>
      <w:numFmt w:val="lowerRoman"/>
      <w:lvlText w:val="%3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28EA6C">
      <w:start w:val="1"/>
      <w:numFmt w:val="decimal"/>
      <w:lvlText w:val="%4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0293C4">
      <w:start w:val="1"/>
      <w:numFmt w:val="lowerLetter"/>
      <w:lvlText w:val="%5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9A4300">
      <w:start w:val="1"/>
      <w:numFmt w:val="lowerRoman"/>
      <w:lvlText w:val="%6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E00DCA">
      <w:start w:val="1"/>
      <w:numFmt w:val="decimal"/>
      <w:lvlText w:val="%7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26FAA0">
      <w:start w:val="1"/>
      <w:numFmt w:val="lowerLetter"/>
      <w:lvlText w:val="%8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E2B792">
      <w:start w:val="1"/>
      <w:numFmt w:val="lowerRoman"/>
      <w:lvlText w:val="%9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6939D2"/>
    <w:multiLevelType w:val="hybridMultilevel"/>
    <w:tmpl w:val="D4240E04"/>
    <w:lvl w:ilvl="0" w:tplc="0DD4DB56">
      <w:start w:val="3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FE2D6C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650DDEC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C3045F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EE26CD0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3983F0C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F8C8EF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B528AC4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AB0FAC0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AC10EE"/>
    <w:multiLevelType w:val="hybridMultilevel"/>
    <w:tmpl w:val="6184609A"/>
    <w:lvl w:ilvl="0" w:tplc="6966F506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2BE4D1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0A4220C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FD0700C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46A963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1D2BA1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456928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AC4B908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00AD41E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992855"/>
    <w:multiLevelType w:val="hybridMultilevel"/>
    <w:tmpl w:val="048A8B8A"/>
    <w:lvl w:ilvl="0" w:tplc="C1E2A41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C089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440A4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4010E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BE7D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A846B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E631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62184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0CEA2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A36EF6"/>
    <w:multiLevelType w:val="hybridMultilevel"/>
    <w:tmpl w:val="5F0A5702"/>
    <w:lvl w:ilvl="0" w:tplc="4D5AC3B8">
      <w:start w:val="1"/>
      <w:numFmt w:val="bullet"/>
      <w:lvlText w:val="-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0BA2532">
      <w:start w:val="1"/>
      <w:numFmt w:val="bullet"/>
      <w:lvlText w:val="o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EA3858">
      <w:start w:val="1"/>
      <w:numFmt w:val="bullet"/>
      <w:lvlText w:val="▪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50885A">
      <w:start w:val="1"/>
      <w:numFmt w:val="bullet"/>
      <w:lvlText w:val="•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AD2B5DE">
      <w:start w:val="1"/>
      <w:numFmt w:val="bullet"/>
      <w:lvlText w:val="o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AF82C98">
      <w:start w:val="1"/>
      <w:numFmt w:val="bullet"/>
      <w:lvlText w:val="▪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B2E2FB6">
      <w:start w:val="1"/>
      <w:numFmt w:val="bullet"/>
      <w:lvlText w:val="•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B760E76">
      <w:start w:val="1"/>
      <w:numFmt w:val="bullet"/>
      <w:lvlText w:val="o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36414D8">
      <w:start w:val="1"/>
      <w:numFmt w:val="bullet"/>
      <w:lvlText w:val="▪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26B4A62"/>
    <w:multiLevelType w:val="hybridMultilevel"/>
    <w:tmpl w:val="AE3EEFEA"/>
    <w:lvl w:ilvl="0" w:tplc="A46C3E98">
      <w:start w:val="7"/>
      <w:numFmt w:val="decimal"/>
      <w:lvlText w:val="%1.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1C442C">
      <w:start w:val="1"/>
      <w:numFmt w:val="lowerLetter"/>
      <w:lvlText w:val="%2"/>
      <w:lvlJc w:val="left"/>
      <w:pPr>
        <w:ind w:left="1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7E2C0E">
      <w:start w:val="1"/>
      <w:numFmt w:val="lowerRoman"/>
      <w:lvlText w:val="%3"/>
      <w:lvlJc w:val="left"/>
      <w:pPr>
        <w:ind w:left="2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D05A1C">
      <w:start w:val="1"/>
      <w:numFmt w:val="decimal"/>
      <w:lvlText w:val="%4"/>
      <w:lvlJc w:val="left"/>
      <w:pPr>
        <w:ind w:left="3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18DDAC">
      <w:start w:val="1"/>
      <w:numFmt w:val="lowerLetter"/>
      <w:lvlText w:val="%5"/>
      <w:lvlJc w:val="left"/>
      <w:pPr>
        <w:ind w:left="3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52C7D0">
      <w:start w:val="1"/>
      <w:numFmt w:val="lowerRoman"/>
      <w:lvlText w:val="%6"/>
      <w:lvlJc w:val="left"/>
      <w:pPr>
        <w:ind w:left="4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DEB578">
      <w:start w:val="1"/>
      <w:numFmt w:val="decimal"/>
      <w:lvlText w:val="%7"/>
      <w:lvlJc w:val="left"/>
      <w:pPr>
        <w:ind w:left="5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D6521C">
      <w:start w:val="1"/>
      <w:numFmt w:val="lowerLetter"/>
      <w:lvlText w:val="%8"/>
      <w:lvlJc w:val="left"/>
      <w:pPr>
        <w:ind w:left="5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CE898">
      <w:start w:val="1"/>
      <w:numFmt w:val="lowerRoman"/>
      <w:lvlText w:val="%9"/>
      <w:lvlJc w:val="left"/>
      <w:pPr>
        <w:ind w:left="6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21A"/>
    <w:rsid w:val="0000275E"/>
    <w:rsid w:val="00012364"/>
    <w:rsid w:val="00017374"/>
    <w:rsid w:val="00017A37"/>
    <w:rsid w:val="000248AA"/>
    <w:rsid w:val="00037924"/>
    <w:rsid w:val="00037E83"/>
    <w:rsid w:val="00043222"/>
    <w:rsid w:val="00045D4A"/>
    <w:rsid w:val="00053D64"/>
    <w:rsid w:val="00064E45"/>
    <w:rsid w:val="00066E4D"/>
    <w:rsid w:val="000719B4"/>
    <w:rsid w:val="00073194"/>
    <w:rsid w:val="00075553"/>
    <w:rsid w:val="00076293"/>
    <w:rsid w:val="00090B8D"/>
    <w:rsid w:val="0009512F"/>
    <w:rsid w:val="000A3DF9"/>
    <w:rsid w:val="000B03EB"/>
    <w:rsid w:val="000B1EC9"/>
    <w:rsid w:val="000D1542"/>
    <w:rsid w:val="0010015F"/>
    <w:rsid w:val="001024FA"/>
    <w:rsid w:val="00116598"/>
    <w:rsid w:val="0013569B"/>
    <w:rsid w:val="00147A26"/>
    <w:rsid w:val="00147E71"/>
    <w:rsid w:val="001624EF"/>
    <w:rsid w:val="00162DF2"/>
    <w:rsid w:val="00166111"/>
    <w:rsid w:val="00176C33"/>
    <w:rsid w:val="001A2CD8"/>
    <w:rsid w:val="001A5336"/>
    <w:rsid w:val="001B18AE"/>
    <w:rsid w:val="001B722F"/>
    <w:rsid w:val="001C68B6"/>
    <w:rsid w:val="001F78E6"/>
    <w:rsid w:val="00200815"/>
    <w:rsid w:val="00207A13"/>
    <w:rsid w:val="00235F49"/>
    <w:rsid w:val="00236EA0"/>
    <w:rsid w:val="0025170D"/>
    <w:rsid w:val="00266D4C"/>
    <w:rsid w:val="00275DB2"/>
    <w:rsid w:val="00277A0D"/>
    <w:rsid w:val="002922FB"/>
    <w:rsid w:val="002943BA"/>
    <w:rsid w:val="002A0C46"/>
    <w:rsid w:val="002A1549"/>
    <w:rsid w:val="002B06BB"/>
    <w:rsid w:val="002C1CD3"/>
    <w:rsid w:val="002C696F"/>
    <w:rsid w:val="002D6D9B"/>
    <w:rsid w:val="002F2E2D"/>
    <w:rsid w:val="00300FCC"/>
    <w:rsid w:val="003227C7"/>
    <w:rsid w:val="00325E49"/>
    <w:rsid w:val="003307E0"/>
    <w:rsid w:val="00335BC0"/>
    <w:rsid w:val="00341A7C"/>
    <w:rsid w:val="0034285E"/>
    <w:rsid w:val="00346E0D"/>
    <w:rsid w:val="00360A25"/>
    <w:rsid w:val="00361629"/>
    <w:rsid w:val="00387646"/>
    <w:rsid w:val="00391EC7"/>
    <w:rsid w:val="0039630C"/>
    <w:rsid w:val="003A23FD"/>
    <w:rsid w:val="003A51D4"/>
    <w:rsid w:val="003B545B"/>
    <w:rsid w:val="003D30A3"/>
    <w:rsid w:val="003D6168"/>
    <w:rsid w:val="003D78BE"/>
    <w:rsid w:val="003E5A56"/>
    <w:rsid w:val="003E74A3"/>
    <w:rsid w:val="003F251A"/>
    <w:rsid w:val="003F2F5C"/>
    <w:rsid w:val="003F3286"/>
    <w:rsid w:val="0040215D"/>
    <w:rsid w:val="0040624C"/>
    <w:rsid w:val="00412A7D"/>
    <w:rsid w:val="004217C9"/>
    <w:rsid w:val="00427FF3"/>
    <w:rsid w:val="0043476E"/>
    <w:rsid w:val="0043615A"/>
    <w:rsid w:val="00440E1D"/>
    <w:rsid w:val="00447314"/>
    <w:rsid w:val="00453BDE"/>
    <w:rsid w:val="004679EF"/>
    <w:rsid w:val="00470E93"/>
    <w:rsid w:val="0047576D"/>
    <w:rsid w:val="00494490"/>
    <w:rsid w:val="004A7350"/>
    <w:rsid w:val="004B2B76"/>
    <w:rsid w:val="004B3380"/>
    <w:rsid w:val="004B70DE"/>
    <w:rsid w:val="004C02AA"/>
    <w:rsid w:val="004F2B19"/>
    <w:rsid w:val="00513B41"/>
    <w:rsid w:val="005146D3"/>
    <w:rsid w:val="00520D55"/>
    <w:rsid w:val="00521F3F"/>
    <w:rsid w:val="00527BD0"/>
    <w:rsid w:val="00536676"/>
    <w:rsid w:val="00537472"/>
    <w:rsid w:val="00543EDF"/>
    <w:rsid w:val="00545207"/>
    <w:rsid w:val="00550C5D"/>
    <w:rsid w:val="005538B2"/>
    <w:rsid w:val="00560C55"/>
    <w:rsid w:val="00561877"/>
    <w:rsid w:val="00565DA3"/>
    <w:rsid w:val="0058398D"/>
    <w:rsid w:val="00586449"/>
    <w:rsid w:val="0058738F"/>
    <w:rsid w:val="0059224A"/>
    <w:rsid w:val="0059322E"/>
    <w:rsid w:val="005A125E"/>
    <w:rsid w:val="005A2AC1"/>
    <w:rsid w:val="005A4BAE"/>
    <w:rsid w:val="005B54C9"/>
    <w:rsid w:val="005C1D18"/>
    <w:rsid w:val="005C5587"/>
    <w:rsid w:val="005D5979"/>
    <w:rsid w:val="005E1D84"/>
    <w:rsid w:val="005E7A57"/>
    <w:rsid w:val="00600B10"/>
    <w:rsid w:val="00610E5C"/>
    <w:rsid w:val="00650026"/>
    <w:rsid w:val="00650565"/>
    <w:rsid w:val="0066699A"/>
    <w:rsid w:val="0067238C"/>
    <w:rsid w:val="00686208"/>
    <w:rsid w:val="006A6C9A"/>
    <w:rsid w:val="006B083F"/>
    <w:rsid w:val="006B7816"/>
    <w:rsid w:val="006C08B9"/>
    <w:rsid w:val="006C7272"/>
    <w:rsid w:val="006F01CD"/>
    <w:rsid w:val="006F15E4"/>
    <w:rsid w:val="0070022B"/>
    <w:rsid w:val="00701377"/>
    <w:rsid w:val="007018F4"/>
    <w:rsid w:val="00701D28"/>
    <w:rsid w:val="0073029A"/>
    <w:rsid w:val="00731C8F"/>
    <w:rsid w:val="007340B9"/>
    <w:rsid w:val="007344F4"/>
    <w:rsid w:val="00741FF6"/>
    <w:rsid w:val="007550F7"/>
    <w:rsid w:val="007821BF"/>
    <w:rsid w:val="007A3CD4"/>
    <w:rsid w:val="007B3E0B"/>
    <w:rsid w:val="007B4715"/>
    <w:rsid w:val="007C59B5"/>
    <w:rsid w:val="007D5A6E"/>
    <w:rsid w:val="007E4B88"/>
    <w:rsid w:val="007E6335"/>
    <w:rsid w:val="00817710"/>
    <w:rsid w:val="00822048"/>
    <w:rsid w:val="00832C65"/>
    <w:rsid w:val="00845400"/>
    <w:rsid w:val="008477C3"/>
    <w:rsid w:val="0087721A"/>
    <w:rsid w:val="008847F3"/>
    <w:rsid w:val="008A526C"/>
    <w:rsid w:val="008A5AF8"/>
    <w:rsid w:val="008B3A68"/>
    <w:rsid w:val="008B5155"/>
    <w:rsid w:val="008C0032"/>
    <w:rsid w:val="008C2956"/>
    <w:rsid w:val="008C3359"/>
    <w:rsid w:val="008C393A"/>
    <w:rsid w:val="008D1F6C"/>
    <w:rsid w:val="008D7CDB"/>
    <w:rsid w:val="008E21B9"/>
    <w:rsid w:val="008E75D7"/>
    <w:rsid w:val="00915902"/>
    <w:rsid w:val="00915DEB"/>
    <w:rsid w:val="0092042E"/>
    <w:rsid w:val="00951FEA"/>
    <w:rsid w:val="009546C3"/>
    <w:rsid w:val="009571AB"/>
    <w:rsid w:val="00962871"/>
    <w:rsid w:val="009731E0"/>
    <w:rsid w:val="00974551"/>
    <w:rsid w:val="00991C00"/>
    <w:rsid w:val="00994D83"/>
    <w:rsid w:val="009A05D0"/>
    <w:rsid w:val="009A5F79"/>
    <w:rsid w:val="009A60B3"/>
    <w:rsid w:val="009B607D"/>
    <w:rsid w:val="009C72D0"/>
    <w:rsid w:val="009C7D99"/>
    <w:rsid w:val="009E1469"/>
    <w:rsid w:val="009F0512"/>
    <w:rsid w:val="009F0E39"/>
    <w:rsid w:val="009F6C57"/>
    <w:rsid w:val="00A05CB0"/>
    <w:rsid w:val="00A17316"/>
    <w:rsid w:val="00A26ED3"/>
    <w:rsid w:val="00A404F9"/>
    <w:rsid w:val="00A413A2"/>
    <w:rsid w:val="00A41915"/>
    <w:rsid w:val="00A441F0"/>
    <w:rsid w:val="00A5092D"/>
    <w:rsid w:val="00A513D7"/>
    <w:rsid w:val="00A5492F"/>
    <w:rsid w:val="00A56D15"/>
    <w:rsid w:val="00A72E27"/>
    <w:rsid w:val="00A8538A"/>
    <w:rsid w:val="00A93A96"/>
    <w:rsid w:val="00A95404"/>
    <w:rsid w:val="00A96DFE"/>
    <w:rsid w:val="00A97E64"/>
    <w:rsid w:val="00AA15CB"/>
    <w:rsid w:val="00AA5914"/>
    <w:rsid w:val="00AA768A"/>
    <w:rsid w:val="00AB0A83"/>
    <w:rsid w:val="00AB1AD3"/>
    <w:rsid w:val="00AB60B2"/>
    <w:rsid w:val="00AE0418"/>
    <w:rsid w:val="00AF6B00"/>
    <w:rsid w:val="00B02AC3"/>
    <w:rsid w:val="00B02AF5"/>
    <w:rsid w:val="00B0426D"/>
    <w:rsid w:val="00B13268"/>
    <w:rsid w:val="00B13C41"/>
    <w:rsid w:val="00B2253C"/>
    <w:rsid w:val="00B2665B"/>
    <w:rsid w:val="00B608BD"/>
    <w:rsid w:val="00B76E0B"/>
    <w:rsid w:val="00BA09C9"/>
    <w:rsid w:val="00BA0E67"/>
    <w:rsid w:val="00BA316B"/>
    <w:rsid w:val="00BA5737"/>
    <w:rsid w:val="00BA7744"/>
    <w:rsid w:val="00BB722B"/>
    <w:rsid w:val="00BC0554"/>
    <w:rsid w:val="00BD08A8"/>
    <w:rsid w:val="00BD477C"/>
    <w:rsid w:val="00BE4CE3"/>
    <w:rsid w:val="00BF2BFB"/>
    <w:rsid w:val="00C02FDA"/>
    <w:rsid w:val="00C03F20"/>
    <w:rsid w:val="00C06D6B"/>
    <w:rsid w:val="00C07121"/>
    <w:rsid w:val="00C07B53"/>
    <w:rsid w:val="00C140A3"/>
    <w:rsid w:val="00C20939"/>
    <w:rsid w:val="00C37DB8"/>
    <w:rsid w:val="00C406ED"/>
    <w:rsid w:val="00C44124"/>
    <w:rsid w:val="00C47A7A"/>
    <w:rsid w:val="00C53AEC"/>
    <w:rsid w:val="00C66A15"/>
    <w:rsid w:val="00C71F47"/>
    <w:rsid w:val="00C90726"/>
    <w:rsid w:val="00C95A80"/>
    <w:rsid w:val="00CA12C6"/>
    <w:rsid w:val="00CA20B2"/>
    <w:rsid w:val="00CC6C28"/>
    <w:rsid w:val="00CD57D5"/>
    <w:rsid w:val="00CE4110"/>
    <w:rsid w:val="00CE6058"/>
    <w:rsid w:val="00D0337F"/>
    <w:rsid w:val="00D05787"/>
    <w:rsid w:val="00D12539"/>
    <w:rsid w:val="00D31A3B"/>
    <w:rsid w:val="00D31ECA"/>
    <w:rsid w:val="00D32BDB"/>
    <w:rsid w:val="00D37BE9"/>
    <w:rsid w:val="00D507C5"/>
    <w:rsid w:val="00D5175A"/>
    <w:rsid w:val="00D618C1"/>
    <w:rsid w:val="00D74C0C"/>
    <w:rsid w:val="00D839D4"/>
    <w:rsid w:val="00D977B7"/>
    <w:rsid w:val="00DA10E8"/>
    <w:rsid w:val="00DB741A"/>
    <w:rsid w:val="00DB7B70"/>
    <w:rsid w:val="00DC04C7"/>
    <w:rsid w:val="00DC3863"/>
    <w:rsid w:val="00DC3A97"/>
    <w:rsid w:val="00DD6099"/>
    <w:rsid w:val="00DF61A9"/>
    <w:rsid w:val="00E237B6"/>
    <w:rsid w:val="00E3397C"/>
    <w:rsid w:val="00E35FFC"/>
    <w:rsid w:val="00E447F6"/>
    <w:rsid w:val="00E5118C"/>
    <w:rsid w:val="00E5301E"/>
    <w:rsid w:val="00E634F5"/>
    <w:rsid w:val="00E94A0A"/>
    <w:rsid w:val="00E97EF5"/>
    <w:rsid w:val="00EA4B3B"/>
    <w:rsid w:val="00EB4F39"/>
    <w:rsid w:val="00ED5922"/>
    <w:rsid w:val="00EE01CD"/>
    <w:rsid w:val="00EE716E"/>
    <w:rsid w:val="00EF0703"/>
    <w:rsid w:val="00F0425F"/>
    <w:rsid w:val="00F06CF3"/>
    <w:rsid w:val="00F20108"/>
    <w:rsid w:val="00F44C11"/>
    <w:rsid w:val="00F50EB1"/>
    <w:rsid w:val="00F51796"/>
    <w:rsid w:val="00F608EC"/>
    <w:rsid w:val="00F60C7C"/>
    <w:rsid w:val="00F63661"/>
    <w:rsid w:val="00F6650B"/>
    <w:rsid w:val="00F74D9F"/>
    <w:rsid w:val="00F76F86"/>
    <w:rsid w:val="00F846C2"/>
    <w:rsid w:val="00F8577E"/>
    <w:rsid w:val="00F9238A"/>
    <w:rsid w:val="00F96130"/>
    <w:rsid w:val="00F977FA"/>
    <w:rsid w:val="00FA2E2F"/>
    <w:rsid w:val="00FA3E76"/>
    <w:rsid w:val="00FA4E36"/>
    <w:rsid w:val="00FB3E98"/>
    <w:rsid w:val="00FC15D3"/>
    <w:rsid w:val="00FC2BC8"/>
    <w:rsid w:val="00FC6E44"/>
    <w:rsid w:val="00FE2138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5AF5F-B7E4-462E-B5CB-027889CD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F20"/>
  </w:style>
  <w:style w:type="paragraph" w:styleId="1">
    <w:name w:val="heading 1"/>
    <w:basedOn w:val="a"/>
    <w:next w:val="a"/>
    <w:link w:val="10"/>
    <w:uiPriority w:val="9"/>
    <w:qFormat/>
    <w:rsid w:val="00FC2B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E4C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79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44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Цветовое выделение"/>
    <w:uiPriority w:val="99"/>
    <w:rsid w:val="00A441F0"/>
    <w:rPr>
      <w:b/>
      <w:color w:val="26282F"/>
    </w:rPr>
  </w:style>
  <w:style w:type="character" w:styleId="a5">
    <w:name w:val="Hyperlink"/>
    <w:basedOn w:val="a0"/>
    <w:rsid w:val="003D30A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03F2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E4C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annotation text"/>
    <w:basedOn w:val="a"/>
    <w:link w:val="a8"/>
    <w:uiPriority w:val="99"/>
    <w:unhideWhenUsed/>
    <w:qFormat/>
    <w:rsid w:val="0073029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qFormat/>
    <w:rsid w:val="007302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basedOn w:val="a0"/>
    <w:uiPriority w:val="99"/>
    <w:rsid w:val="00CA12C6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BA0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BB7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C2B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footnote text"/>
    <w:basedOn w:val="a"/>
    <w:link w:val="ab"/>
    <w:uiPriority w:val="99"/>
    <w:semiHidden/>
    <w:unhideWhenUsed/>
    <w:rsid w:val="00A26ED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26ED3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26ED3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E44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447F6"/>
  </w:style>
  <w:style w:type="paragraph" w:styleId="af">
    <w:name w:val="footer"/>
    <w:basedOn w:val="a"/>
    <w:link w:val="af0"/>
    <w:uiPriority w:val="99"/>
    <w:unhideWhenUsed/>
    <w:rsid w:val="00E44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447F6"/>
  </w:style>
  <w:style w:type="character" w:customStyle="1" w:styleId="af1">
    <w:name w:val="Гипертекстовая ссылка"/>
    <w:basedOn w:val="a0"/>
    <w:uiPriority w:val="99"/>
    <w:rsid w:val="00447314"/>
    <w:rPr>
      <w:rFonts w:cs="Times New Roman"/>
      <w:b w:val="0"/>
      <w:color w:val="106BBE"/>
    </w:rPr>
  </w:style>
  <w:style w:type="paragraph" w:styleId="af2">
    <w:name w:val="Body Text"/>
    <w:basedOn w:val="a"/>
    <w:link w:val="af3"/>
    <w:uiPriority w:val="1"/>
    <w:qFormat/>
    <w:rsid w:val="00045D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6"/>
      <w:szCs w:val="26"/>
    </w:rPr>
  </w:style>
  <w:style w:type="character" w:customStyle="1" w:styleId="af3">
    <w:name w:val="Основной текст Знак"/>
    <w:basedOn w:val="a0"/>
    <w:link w:val="af2"/>
    <w:uiPriority w:val="1"/>
    <w:rsid w:val="00045D4A"/>
    <w:rPr>
      <w:rFonts w:ascii="Calibri" w:eastAsia="Calibri" w:hAnsi="Calibri" w:cs="Calibri"/>
      <w:sz w:val="26"/>
      <w:szCs w:val="26"/>
    </w:rPr>
  </w:style>
  <w:style w:type="paragraph" w:styleId="af4">
    <w:name w:val="Balloon Text"/>
    <w:basedOn w:val="a"/>
    <w:link w:val="af5"/>
    <w:uiPriority w:val="99"/>
    <w:semiHidden/>
    <w:unhideWhenUsed/>
    <w:rsid w:val="00DC0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C04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86363-8CE7-40A8-8936-1BDE34205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3578</Words>
  <Characters>20399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Бергер Ольга Сергеевна</dc:creator>
  <cp:keywords/>
  <dc:description/>
  <cp:lastModifiedBy>Бергер Ольга Сергеевна</cp:lastModifiedBy>
  <cp:revision>6</cp:revision>
  <cp:lastPrinted>2025-10-09T10:48:00Z</cp:lastPrinted>
  <dcterms:created xsi:type="dcterms:W3CDTF">2025-10-09T10:26:00Z</dcterms:created>
  <dcterms:modified xsi:type="dcterms:W3CDTF">2025-10-09T10:52:00Z</dcterms:modified>
</cp:coreProperties>
</file>