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C8A" w:rsidRDefault="006C60A6" w:rsidP="002F15BC">
      <w:pPr>
        <w:ind w:left="566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</w:t>
      </w:r>
      <w:r w:rsidR="00A858FB" w:rsidRPr="006C60A6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:rsidR="006C60A6" w:rsidRDefault="00A858FB">
      <w:pPr>
        <w:ind w:left="5664"/>
        <w:rPr>
          <w:rFonts w:eastAsia="Times New Roman" w:cs="Times New Roman"/>
          <w:sz w:val="24"/>
          <w:szCs w:val="24"/>
          <w:lang w:eastAsia="ru-RU"/>
        </w:rPr>
      </w:pPr>
      <w:r w:rsidRPr="006C60A6">
        <w:rPr>
          <w:rFonts w:eastAsia="Times New Roman" w:cs="Times New Roman"/>
          <w:sz w:val="24"/>
          <w:szCs w:val="24"/>
          <w:lang w:eastAsia="ru-RU"/>
        </w:rPr>
        <w:t xml:space="preserve">        подготовлен управлением  </w:t>
      </w:r>
    </w:p>
    <w:p w:rsidR="00784073" w:rsidRPr="006C60A6" w:rsidRDefault="00A858FB">
      <w:pPr>
        <w:ind w:left="5664"/>
        <w:rPr>
          <w:rFonts w:eastAsia="Times New Roman" w:cs="Times New Roman"/>
          <w:sz w:val="24"/>
          <w:szCs w:val="24"/>
          <w:lang w:eastAsia="ru-RU"/>
        </w:rPr>
      </w:pPr>
      <w:r w:rsidRPr="006C60A6">
        <w:rPr>
          <w:rFonts w:eastAsia="Times New Roman" w:cs="Times New Roman"/>
          <w:sz w:val="24"/>
          <w:szCs w:val="24"/>
          <w:lang w:eastAsia="ru-RU"/>
        </w:rPr>
        <w:t xml:space="preserve">        по делам ГО и ЧС</w:t>
      </w:r>
    </w:p>
    <w:p w:rsidR="00784073" w:rsidRDefault="00A858FB">
      <w:pPr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C37C8A" w:rsidRDefault="00C37C8A">
      <w:pPr>
        <w:rPr>
          <w:rFonts w:eastAsia="Times New Roman" w:cs="Times New Roman"/>
          <w:b/>
          <w:sz w:val="26"/>
          <w:szCs w:val="26"/>
          <w:lang w:eastAsia="ru-RU"/>
        </w:rPr>
      </w:pPr>
    </w:p>
    <w:p w:rsidR="00784073" w:rsidRDefault="00A858FB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:rsidR="00784073" w:rsidRDefault="00A858FB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ГОРОДСКОЙ ОКРУГ СУРГУТ</w:t>
      </w:r>
    </w:p>
    <w:p w:rsidR="00784073" w:rsidRDefault="00A858FB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ХАНТЫ–МАНСИЙСКОГО АВТОНОМНОГО ОКРУГА – ЮГРЫ</w:t>
      </w:r>
    </w:p>
    <w:p w:rsidR="00784073" w:rsidRPr="00C74705" w:rsidRDefault="00A858FB">
      <w:pPr>
        <w:jc w:val="center"/>
        <w:rPr>
          <w:rFonts w:eastAsia="Times New Roman" w:cs="Times New Roman"/>
          <w:szCs w:val="28"/>
        </w:rPr>
      </w:pPr>
      <w:r w:rsidRPr="00C74705">
        <w:rPr>
          <w:rFonts w:eastAsia="Times New Roman" w:cs="Times New Roman"/>
          <w:szCs w:val="28"/>
          <w:lang w:eastAsia="ru-RU"/>
        </w:rPr>
        <w:t>АДМИНИСТРАЦИЯ ГОРОДА</w:t>
      </w:r>
    </w:p>
    <w:p w:rsidR="00784073" w:rsidRDefault="00784073">
      <w:pPr>
        <w:rPr>
          <w:rFonts w:eastAsia="Times New Roman" w:cs="Times New Roman"/>
          <w:b/>
          <w:szCs w:val="28"/>
        </w:rPr>
      </w:pPr>
    </w:p>
    <w:p w:rsidR="00784073" w:rsidRPr="00C74705" w:rsidRDefault="00A858FB">
      <w:pPr>
        <w:jc w:val="center"/>
        <w:rPr>
          <w:rFonts w:eastAsia="Times New Roman" w:cs="Times New Roman"/>
          <w:szCs w:val="28"/>
        </w:rPr>
      </w:pPr>
      <w:r w:rsidRPr="00C74705">
        <w:rPr>
          <w:rFonts w:eastAsia="Times New Roman" w:cs="Times New Roman"/>
          <w:szCs w:val="28"/>
          <w:lang w:eastAsia="ru-RU"/>
        </w:rPr>
        <w:t>ПОСТАНОВЛЕНИЕ</w:t>
      </w:r>
    </w:p>
    <w:p w:rsidR="00784073" w:rsidRDefault="00784073">
      <w:pPr>
        <w:ind w:firstLine="567"/>
        <w:jc w:val="both"/>
        <w:rPr>
          <w:rFonts w:eastAsia="Times New Roman" w:cs="Times New Roman"/>
          <w:szCs w:val="28"/>
        </w:rPr>
      </w:pPr>
    </w:p>
    <w:p w:rsidR="008D047F" w:rsidRPr="008848A0" w:rsidRDefault="00F81B6F" w:rsidP="008D047F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</w:t>
      </w:r>
      <w:r w:rsidR="008D047F" w:rsidRPr="008848A0">
        <w:rPr>
          <w:rFonts w:eastAsia="Times New Roman" w:cs="Times New Roman"/>
          <w:szCs w:val="28"/>
          <w:lang w:eastAsia="ru-RU"/>
        </w:rPr>
        <w:t xml:space="preserve"> </w:t>
      </w:r>
    </w:p>
    <w:p w:rsidR="008D047F" w:rsidRPr="008848A0" w:rsidRDefault="008D047F" w:rsidP="008D047F">
      <w:pPr>
        <w:rPr>
          <w:rFonts w:eastAsia="Times New Roman" w:cs="Times New Roman"/>
          <w:szCs w:val="28"/>
          <w:lang w:eastAsia="ru-RU"/>
        </w:rPr>
      </w:pPr>
      <w:r w:rsidRPr="008848A0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114718" w:rsidRPr="008848A0" w:rsidRDefault="008D047F" w:rsidP="00114718">
      <w:pPr>
        <w:rPr>
          <w:rStyle w:val="a6"/>
          <w:i w:val="0"/>
          <w:iCs w:val="0"/>
          <w:szCs w:val="28"/>
          <w:shd w:val="clear" w:color="auto" w:fill="FFFFFF"/>
        </w:rPr>
      </w:pPr>
      <w:r w:rsidRPr="008848A0">
        <w:rPr>
          <w:rFonts w:eastAsia="Times New Roman" w:cs="Times New Roman"/>
          <w:szCs w:val="28"/>
          <w:lang w:eastAsia="ru-RU"/>
        </w:rPr>
        <w:t xml:space="preserve">города </w:t>
      </w:r>
      <w:r w:rsidR="00114718" w:rsidRPr="008848A0">
        <w:rPr>
          <w:szCs w:val="28"/>
          <w:shd w:val="clear" w:color="auto" w:fill="FFFFFF"/>
        </w:rPr>
        <w:t>от </w:t>
      </w:r>
      <w:r w:rsidR="00114718" w:rsidRPr="008848A0">
        <w:rPr>
          <w:rStyle w:val="a6"/>
          <w:i w:val="0"/>
          <w:iCs w:val="0"/>
          <w:szCs w:val="28"/>
          <w:shd w:val="clear" w:color="auto" w:fill="FFFFFF"/>
        </w:rPr>
        <w:t xml:space="preserve">12.09.2011 № 5925 </w:t>
      </w:r>
      <w:r w:rsidR="00D56392">
        <w:rPr>
          <w:rStyle w:val="a6"/>
          <w:i w:val="0"/>
          <w:iCs w:val="0"/>
          <w:szCs w:val="28"/>
          <w:shd w:val="clear" w:color="auto" w:fill="FFFFFF"/>
        </w:rPr>
        <w:br/>
      </w:r>
      <w:r w:rsidR="00114718" w:rsidRPr="008848A0">
        <w:rPr>
          <w:szCs w:val="28"/>
          <w:shd w:val="clear" w:color="auto" w:fill="FFFFFF"/>
        </w:rPr>
        <w:t xml:space="preserve">«Об утверждении Перечня </w:t>
      </w:r>
      <w:r w:rsidR="00114718" w:rsidRPr="008848A0">
        <w:rPr>
          <w:rStyle w:val="a6"/>
          <w:i w:val="0"/>
          <w:iCs w:val="0"/>
          <w:szCs w:val="28"/>
          <w:shd w:val="clear" w:color="auto" w:fill="FFFFFF"/>
        </w:rPr>
        <w:t>первичных</w:t>
      </w:r>
    </w:p>
    <w:p w:rsidR="00114718" w:rsidRPr="008848A0" w:rsidRDefault="00114718" w:rsidP="00114718">
      <w:pPr>
        <w:rPr>
          <w:rStyle w:val="a6"/>
          <w:i w:val="0"/>
          <w:iCs w:val="0"/>
          <w:szCs w:val="28"/>
          <w:shd w:val="clear" w:color="auto" w:fill="FFFFFF"/>
        </w:rPr>
      </w:pPr>
      <w:r w:rsidRPr="008848A0">
        <w:rPr>
          <w:szCs w:val="28"/>
          <w:shd w:val="clear" w:color="auto" w:fill="FFFFFF"/>
        </w:rPr>
        <w:t>средств </w:t>
      </w:r>
      <w:r w:rsidRPr="008848A0">
        <w:rPr>
          <w:rStyle w:val="a6"/>
          <w:i w:val="0"/>
          <w:iCs w:val="0"/>
          <w:szCs w:val="28"/>
          <w:shd w:val="clear" w:color="auto" w:fill="FFFFFF"/>
        </w:rPr>
        <w:t>тушения пожаров</w:t>
      </w:r>
    </w:p>
    <w:p w:rsidR="00114718" w:rsidRPr="008848A0" w:rsidRDefault="00114718" w:rsidP="00114718">
      <w:pPr>
        <w:rPr>
          <w:rStyle w:val="a6"/>
          <w:i w:val="0"/>
          <w:iCs w:val="0"/>
          <w:szCs w:val="28"/>
          <w:shd w:val="clear" w:color="auto" w:fill="FFFFFF"/>
        </w:rPr>
      </w:pPr>
      <w:r w:rsidRPr="008848A0">
        <w:rPr>
          <w:szCs w:val="28"/>
          <w:shd w:val="clear" w:color="auto" w:fill="FFFFFF"/>
        </w:rPr>
        <w:t>и </w:t>
      </w:r>
      <w:r w:rsidRPr="008848A0">
        <w:rPr>
          <w:rStyle w:val="a6"/>
          <w:i w:val="0"/>
          <w:iCs w:val="0"/>
          <w:szCs w:val="28"/>
          <w:shd w:val="clear" w:color="auto" w:fill="FFFFFF"/>
        </w:rPr>
        <w:t>противопожарного инвентаря</w:t>
      </w:r>
    </w:p>
    <w:p w:rsidR="00114718" w:rsidRPr="008848A0" w:rsidRDefault="00114718" w:rsidP="00114718">
      <w:pPr>
        <w:rPr>
          <w:szCs w:val="28"/>
          <w:shd w:val="clear" w:color="auto" w:fill="FFFFFF"/>
        </w:rPr>
      </w:pPr>
      <w:r w:rsidRPr="008848A0">
        <w:rPr>
          <w:szCs w:val="28"/>
          <w:shd w:val="clear" w:color="auto" w:fill="FFFFFF"/>
        </w:rPr>
        <w:t>в </w:t>
      </w:r>
      <w:r w:rsidRPr="008848A0">
        <w:rPr>
          <w:rStyle w:val="a6"/>
          <w:i w:val="0"/>
          <w:iCs w:val="0"/>
          <w:szCs w:val="28"/>
          <w:shd w:val="clear" w:color="auto" w:fill="FFFFFF"/>
        </w:rPr>
        <w:t xml:space="preserve">помещениях </w:t>
      </w:r>
      <w:r w:rsidRPr="008848A0">
        <w:rPr>
          <w:szCs w:val="28"/>
          <w:shd w:val="clear" w:color="auto" w:fill="FFFFFF"/>
        </w:rPr>
        <w:t>и </w:t>
      </w:r>
      <w:r w:rsidRPr="008848A0">
        <w:rPr>
          <w:rStyle w:val="a6"/>
          <w:i w:val="0"/>
          <w:iCs w:val="0"/>
          <w:szCs w:val="28"/>
          <w:shd w:val="clear" w:color="auto" w:fill="FFFFFF"/>
        </w:rPr>
        <w:t>строениях</w:t>
      </w:r>
      <w:r w:rsidRPr="008848A0">
        <w:rPr>
          <w:szCs w:val="28"/>
          <w:shd w:val="clear" w:color="auto" w:fill="FFFFFF"/>
        </w:rPr>
        <w:t>, </w:t>
      </w:r>
    </w:p>
    <w:p w:rsidR="00114718" w:rsidRPr="008848A0" w:rsidRDefault="00114718" w:rsidP="00114718">
      <w:pPr>
        <w:rPr>
          <w:rStyle w:val="a6"/>
          <w:i w:val="0"/>
          <w:iCs w:val="0"/>
          <w:szCs w:val="28"/>
          <w:shd w:val="clear" w:color="auto" w:fill="FFFFFF"/>
        </w:rPr>
      </w:pPr>
      <w:r w:rsidRPr="008848A0">
        <w:rPr>
          <w:rStyle w:val="a6"/>
          <w:i w:val="0"/>
          <w:iCs w:val="0"/>
          <w:szCs w:val="28"/>
          <w:shd w:val="clear" w:color="auto" w:fill="FFFFFF"/>
        </w:rPr>
        <w:t xml:space="preserve">находящихся </w:t>
      </w:r>
      <w:r w:rsidRPr="008848A0">
        <w:rPr>
          <w:szCs w:val="28"/>
          <w:shd w:val="clear" w:color="auto" w:fill="FFFFFF"/>
        </w:rPr>
        <w:t>в </w:t>
      </w:r>
      <w:r w:rsidRPr="008848A0">
        <w:rPr>
          <w:rStyle w:val="a6"/>
          <w:i w:val="0"/>
          <w:iCs w:val="0"/>
          <w:szCs w:val="28"/>
          <w:shd w:val="clear" w:color="auto" w:fill="FFFFFF"/>
        </w:rPr>
        <w:t>собственности</w:t>
      </w:r>
    </w:p>
    <w:p w:rsidR="005643C1" w:rsidRPr="008848A0" w:rsidRDefault="00114718" w:rsidP="00114718">
      <w:pPr>
        <w:rPr>
          <w:szCs w:val="28"/>
          <w:shd w:val="clear" w:color="auto" w:fill="FFFFFF"/>
        </w:rPr>
      </w:pPr>
      <w:r w:rsidRPr="008848A0">
        <w:rPr>
          <w:szCs w:val="28"/>
          <w:shd w:val="clear" w:color="auto" w:fill="FFFFFF"/>
        </w:rPr>
        <w:t>(</w:t>
      </w:r>
      <w:r w:rsidRPr="008848A0">
        <w:rPr>
          <w:rStyle w:val="a6"/>
          <w:i w:val="0"/>
          <w:iCs w:val="0"/>
          <w:szCs w:val="28"/>
          <w:shd w:val="clear" w:color="auto" w:fill="FFFFFF"/>
        </w:rPr>
        <w:t>пользовании</w:t>
      </w:r>
      <w:r w:rsidRPr="008848A0">
        <w:rPr>
          <w:szCs w:val="28"/>
          <w:shd w:val="clear" w:color="auto" w:fill="FFFFFF"/>
        </w:rPr>
        <w:t>) граждан»</w:t>
      </w:r>
    </w:p>
    <w:p w:rsidR="00114718" w:rsidRDefault="00114718" w:rsidP="00114718">
      <w:pPr>
        <w:rPr>
          <w:color w:val="22272F"/>
          <w:szCs w:val="28"/>
          <w:shd w:val="clear" w:color="auto" w:fill="FFFFFF"/>
        </w:rPr>
      </w:pPr>
    </w:p>
    <w:p w:rsidR="00114718" w:rsidRPr="00114718" w:rsidRDefault="00114718" w:rsidP="00114718">
      <w:pPr>
        <w:rPr>
          <w:rFonts w:eastAsia="Times New Roman" w:cs="Times New Roman"/>
          <w:szCs w:val="28"/>
        </w:rPr>
      </w:pPr>
    </w:p>
    <w:p w:rsidR="00685D5E" w:rsidRDefault="00A858FB" w:rsidP="00685D5E">
      <w:pPr>
        <w:tabs>
          <w:tab w:val="left" w:pos="0"/>
          <w:tab w:val="left" w:pos="709"/>
          <w:tab w:val="left" w:pos="2370"/>
        </w:tabs>
        <w:jc w:val="both"/>
        <w:rPr>
          <w:rFonts w:ascii="Times New Roman CYR" w:eastAsia="Times New Roman" w:hAnsi="Times New Roman CYR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В соответствии с пунктом </w:t>
      </w:r>
      <w:r w:rsidRPr="00B554C8">
        <w:rPr>
          <w:rFonts w:eastAsia="Times New Roman" w:cs="Times New Roman"/>
          <w:szCs w:val="28"/>
          <w:lang w:eastAsia="ru-RU"/>
        </w:rPr>
        <w:t>10</w:t>
      </w:r>
      <w:r w:rsidR="0088198C" w:rsidRPr="00B554C8">
        <w:rPr>
          <w:rFonts w:eastAsia="Times New Roman" w:cs="Times New Roman"/>
          <w:szCs w:val="28"/>
          <w:lang w:eastAsia="ru-RU"/>
        </w:rPr>
        <w:t xml:space="preserve"> части 1</w:t>
      </w:r>
      <w:r w:rsidRPr="00B554C8">
        <w:rPr>
          <w:rFonts w:eastAsia="Times New Roman" w:cs="Times New Roman"/>
          <w:szCs w:val="28"/>
          <w:lang w:eastAsia="ru-RU"/>
        </w:rPr>
        <w:t xml:space="preserve"> статьи</w:t>
      </w:r>
      <w:r>
        <w:rPr>
          <w:rFonts w:eastAsia="Times New Roman" w:cs="Times New Roman"/>
          <w:szCs w:val="28"/>
          <w:lang w:eastAsia="ru-RU"/>
        </w:rPr>
        <w:t xml:space="preserve"> 16 Федерального закона</w:t>
      </w:r>
      <w:r w:rsidR="000E6204">
        <w:rPr>
          <w:rFonts w:eastAsia="Times New Roman" w:cs="Times New Roman"/>
          <w:szCs w:val="28"/>
          <w:lang w:eastAsia="ru-RU"/>
        </w:rPr>
        <w:t xml:space="preserve">                        </w:t>
      </w:r>
      <w:r>
        <w:rPr>
          <w:rFonts w:eastAsia="Times New Roman" w:cs="Times New Roman"/>
          <w:szCs w:val="28"/>
          <w:lang w:eastAsia="ru-RU"/>
        </w:rPr>
        <w:t xml:space="preserve"> от 06.10.2003 </w:t>
      </w:r>
      <w:r w:rsidR="0088198C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 131-ФЗ «Об общих принципах организации местного самоуправления в Российской Федерации», статьей </w:t>
      </w:r>
      <w:r w:rsidR="00B12D53">
        <w:rPr>
          <w:rFonts w:eastAsia="Times New Roman" w:cs="Times New Roman"/>
          <w:szCs w:val="28"/>
          <w:lang w:eastAsia="ru-RU"/>
        </w:rPr>
        <w:t>34</w:t>
      </w:r>
      <w:r>
        <w:rPr>
          <w:rFonts w:eastAsia="Times New Roman" w:cs="Times New Roman"/>
          <w:szCs w:val="28"/>
          <w:lang w:eastAsia="ru-RU"/>
        </w:rPr>
        <w:t xml:space="preserve"> Федерального закона </w:t>
      </w:r>
      <w:r w:rsidR="003C0C7E">
        <w:rPr>
          <w:rFonts w:eastAsia="Times New Roman" w:cs="Times New Roman"/>
          <w:szCs w:val="28"/>
          <w:lang w:eastAsia="ru-RU"/>
        </w:rPr>
        <w:t xml:space="preserve">                 </w:t>
      </w:r>
      <w:r>
        <w:rPr>
          <w:rFonts w:eastAsia="Times New Roman" w:cs="Times New Roman"/>
          <w:szCs w:val="28"/>
          <w:lang w:eastAsia="ru-RU"/>
        </w:rPr>
        <w:t>от 21.12.1994 № 69-ФЗ «О пожарной безопасности», распоряжениями Администрации города</w:t>
      </w:r>
      <w:r w:rsidRPr="004566F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 30.12.2005 № 3686 «Об утверждении  Регламента  Администрации города»,</w:t>
      </w:r>
      <w:r w:rsidRPr="004566F0">
        <w:rPr>
          <w:rFonts w:eastAsia="Times New Roman" w:cs="Times New Roman"/>
          <w:szCs w:val="28"/>
          <w:lang w:eastAsia="ru-RU"/>
        </w:rPr>
        <w:t xml:space="preserve"> </w:t>
      </w:r>
      <w:r w:rsidR="0088198C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>т 23.12.2024 № 8525 «О распределении отдельных полномочий Главы города между высшими должностными лицами Администрации города»</w:t>
      </w:r>
      <w:r w:rsidR="00685D5E" w:rsidRPr="00685D5E">
        <w:rPr>
          <w:rFonts w:ascii="Times New Roman CYR" w:eastAsia="Times New Roman" w:hAnsi="Times New Roman CYR" w:cs="Times New Roman"/>
          <w:szCs w:val="28"/>
          <w:lang w:eastAsia="ru-RU"/>
        </w:rPr>
        <w:t>:</w:t>
      </w:r>
    </w:p>
    <w:p w:rsidR="00846E39" w:rsidRPr="00685D5E" w:rsidRDefault="00846E39" w:rsidP="00685D5E">
      <w:pPr>
        <w:tabs>
          <w:tab w:val="left" w:pos="0"/>
          <w:tab w:val="left" w:pos="709"/>
          <w:tab w:val="left" w:pos="2370"/>
        </w:tabs>
        <w:jc w:val="both"/>
        <w:rPr>
          <w:rFonts w:ascii="Times New Roman CYR" w:eastAsia="Times New Roman" w:hAnsi="Times New Roman CYR" w:cs="Times New Roman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Cs w:val="28"/>
          <w:lang w:eastAsia="ru-RU"/>
        </w:rPr>
        <w:tab/>
      </w:r>
      <w:r w:rsidRPr="00846E39">
        <w:rPr>
          <w:rFonts w:ascii="Times New Roman CYR" w:eastAsia="Times New Roman" w:hAnsi="Times New Roman CYR" w:cs="Times New Roman"/>
          <w:szCs w:val="28"/>
          <w:lang w:eastAsia="ru-RU"/>
        </w:rPr>
        <w:t>1. Внести в постановление Администрации города от 12.09.2011 № 5925                     «Об утверждении Перечня первичных средств тушения пожаров</w:t>
      </w:r>
      <w:r>
        <w:rPr>
          <w:rFonts w:ascii="Times New Roman CYR" w:eastAsia="Times New Roman" w:hAnsi="Times New Roman CYR" w:cs="Times New Roman"/>
          <w:szCs w:val="28"/>
          <w:lang w:eastAsia="ru-RU"/>
        </w:rPr>
        <w:t xml:space="preserve">                                             </w:t>
      </w:r>
      <w:r w:rsidRPr="00846E39">
        <w:rPr>
          <w:rFonts w:ascii="Times New Roman CYR" w:eastAsia="Times New Roman" w:hAnsi="Times New Roman CYR" w:cs="Times New Roman"/>
          <w:szCs w:val="28"/>
          <w:lang w:eastAsia="ru-RU"/>
        </w:rPr>
        <w:t xml:space="preserve"> и противопожарного инвентаря в помещениях и строениях, находящихся </w:t>
      </w:r>
      <w:r>
        <w:rPr>
          <w:rFonts w:ascii="Times New Roman CYR" w:eastAsia="Times New Roman" w:hAnsi="Times New Roman CYR" w:cs="Times New Roman"/>
          <w:szCs w:val="28"/>
          <w:lang w:eastAsia="ru-RU"/>
        </w:rPr>
        <w:t xml:space="preserve">                               </w:t>
      </w:r>
      <w:r w:rsidRPr="00846E39">
        <w:rPr>
          <w:rFonts w:ascii="Times New Roman CYR" w:eastAsia="Times New Roman" w:hAnsi="Times New Roman CYR" w:cs="Times New Roman"/>
          <w:szCs w:val="28"/>
          <w:lang w:eastAsia="ru-RU"/>
        </w:rPr>
        <w:t>в собственности (пользовании) граждан» (с изменениями от 16.04.2013                      № 2546, 17.08.2020 № 5639) изменение, изложив приложение к постановлению</w:t>
      </w:r>
      <w:r w:rsidR="00F76A68">
        <w:rPr>
          <w:rFonts w:ascii="Times New Roman CYR" w:eastAsia="Times New Roman" w:hAnsi="Times New Roman CYR" w:cs="Times New Roman"/>
          <w:szCs w:val="28"/>
          <w:lang w:eastAsia="ru-RU"/>
        </w:rPr>
        <w:t xml:space="preserve">  </w:t>
      </w:r>
      <w:r w:rsidRPr="00846E39">
        <w:rPr>
          <w:rFonts w:ascii="Times New Roman CYR" w:eastAsia="Times New Roman" w:hAnsi="Times New Roman CYR" w:cs="Times New Roman"/>
          <w:szCs w:val="28"/>
          <w:lang w:eastAsia="ru-RU"/>
        </w:rPr>
        <w:t xml:space="preserve"> в новой редакции согласно приложению к настоящему постановлению.</w:t>
      </w:r>
    </w:p>
    <w:p w:rsidR="00B74989" w:rsidRPr="00B74989" w:rsidRDefault="008D047F" w:rsidP="00B74989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0924A9">
        <w:rPr>
          <w:rFonts w:eastAsia="Times New Roman" w:cs="Times New Roman"/>
          <w:szCs w:val="28"/>
          <w:lang w:eastAsia="ru-RU"/>
        </w:rPr>
        <w:tab/>
      </w:r>
      <w:r w:rsidR="00260D3B">
        <w:rPr>
          <w:rFonts w:eastAsia="Times New Roman" w:cs="Times New Roman"/>
          <w:szCs w:val="28"/>
          <w:lang w:eastAsia="ru-RU"/>
        </w:rPr>
        <w:t xml:space="preserve"> 2.</w:t>
      </w:r>
      <w:r w:rsidR="00B74989" w:rsidRPr="00B74989">
        <w:rPr>
          <w:rFonts w:eastAsia="Times New Roman" w:cs="Times New Roman"/>
          <w:szCs w:val="28"/>
          <w:lang w:eastAsia="ru-RU"/>
        </w:rPr>
        <w:t xml:space="preserve">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74989" w:rsidRDefault="00260D3B" w:rsidP="00B7498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B74989" w:rsidRPr="00B74989">
        <w:rPr>
          <w:rFonts w:eastAsia="Times New Roman" w:cs="Times New Roman"/>
          <w:szCs w:val="28"/>
          <w:lang w:eastAsia="ru-RU"/>
        </w:rPr>
        <w:t xml:space="preserve">. Муниципальному казенному учреждению «Наш город» </w:t>
      </w:r>
      <w:r w:rsidR="00F81B6F">
        <w:rPr>
          <w:rFonts w:eastAsia="Times New Roman" w:cs="Times New Roman"/>
          <w:szCs w:val="28"/>
          <w:lang w:eastAsia="ru-RU"/>
        </w:rPr>
        <w:t>опубликовать</w:t>
      </w:r>
      <w:r w:rsidR="00B74989" w:rsidRPr="00B74989">
        <w:rPr>
          <w:rFonts w:eastAsia="Times New Roman" w:cs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1E7D3E" w:rsidRPr="00B74989" w:rsidRDefault="001E7D3E" w:rsidP="00B74989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F81B6F" w:rsidRPr="00F81B6F" w:rsidRDefault="00260D3B" w:rsidP="00F81B6F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  <w:r w:rsidRPr="00F81B6F">
        <w:rPr>
          <w:rFonts w:eastAsia="Times New Roman" w:cs="Times New Roman"/>
          <w:szCs w:val="28"/>
          <w:lang w:eastAsia="ru-RU"/>
        </w:rPr>
        <w:lastRenderedPageBreak/>
        <w:t>4</w:t>
      </w:r>
      <w:r w:rsidR="00B74989" w:rsidRPr="00F81B6F">
        <w:rPr>
          <w:rFonts w:eastAsia="Times New Roman" w:cs="Times New Roman"/>
          <w:szCs w:val="28"/>
          <w:lang w:eastAsia="ru-RU"/>
        </w:rPr>
        <w:t xml:space="preserve">. Настоящее постановление вступает в силу </w:t>
      </w:r>
      <w:r w:rsidR="00F81B6F" w:rsidRPr="00F81B6F">
        <w:rPr>
          <w:szCs w:val="28"/>
        </w:rPr>
        <w:t>после его официального       опубликования.</w:t>
      </w:r>
    </w:p>
    <w:p w:rsidR="00F81B6F" w:rsidRDefault="00F81B6F" w:rsidP="00F81B6F">
      <w:pPr>
        <w:autoSpaceDE w:val="0"/>
        <w:autoSpaceDN w:val="0"/>
        <w:adjustRightInd w:val="0"/>
        <w:jc w:val="both"/>
        <w:rPr>
          <w:rFonts w:eastAsia="SimSun" w:cs="Times New Roman"/>
          <w:szCs w:val="28"/>
          <w:lang w:eastAsia="ru-RU"/>
        </w:rPr>
      </w:pPr>
      <w:r w:rsidRPr="00F81B6F">
        <w:rPr>
          <w:rFonts w:eastAsia="Times New Roman" w:cs="Times New Roman"/>
          <w:szCs w:val="28"/>
          <w:lang w:eastAsia="ru-RU"/>
        </w:rPr>
        <w:tab/>
        <w:t xml:space="preserve">5. Контроль за выполнением постановления возложить на заместителя Главы города </w:t>
      </w:r>
      <w:r w:rsidRPr="00F81B6F">
        <w:rPr>
          <w:rFonts w:eastAsia="SimSun" w:cs="Times New Roman"/>
          <w:szCs w:val="28"/>
          <w:lang w:eastAsia="ru-RU"/>
        </w:rPr>
        <w:t>курирующий сферу обеспечения безопасности городского округа.</w:t>
      </w:r>
    </w:p>
    <w:p w:rsidR="00784073" w:rsidRPr="00B74989" w:rsidRDefault="007D24A8" w:rsidP="00F81B6F">
      <w:pPr>
        <w:jc w:val="both"/>
        <w:rPr>
          <w:rFonts w:eastAsia="Times New Roman" w:cs="Times New Roman"/>
          <w:szCs w:val="28"/>
          <w:lang w:eastAsia="ru-RU"/>
        </w:rPr>
      </w:pPr>
      <w:r w:rsidRPr="00B74989">
        <w:rPr>
          <w:rFonts w:eastAsia="Times New Roman" w:cs="Times New Roman"/>
          <w:szCs w:val="28"/>
          <w:lang w:eastAsia="ru-RU"/>
        </w:rPr>
        <w:tab/>
      </w:r>
    </w:p>
    <w:p w:rsidR="00B24C22" w:rsidRDefault="00B24C22" w:rsidP="00B24C22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7040B4" w:rsidRDefault="007040B4" w:rsidP="007040B4">
      <w:pPr>
        <w:widowControl w:val="0"/>
        <w:tabs>
          <w:tab w:val="left" w:pos="9496"/>
        </w:tabs>
        <w:spacing w:line="100" w:lineRule="atLeast"/>
        <w:rPr>
          <w:rFonts w:eastAsia="Times New Roman" w:cs="Times New Roman"/>
          <w:szCs w:val="28"/>
          <w:lang w:eastAsia="ru-RU"/>
        </w:rPr>
      </w:pPr>
    </w:p>
    <w:p w:rsidR="00784073" w:rsidRDefault="00F81B6F" w:rsidP="007040B4">
      <w:pPr>
        <w:widowControl w:val="0"/>
        <w:tabs>
          <w:tab w:val="left" w:pos="9496"/>
        </w:tabs>
        <w:spacing w:line="100" w:lineRule="atLeas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Глава</w:t>
      </w:r>
      <w:r w:rsidR="00A858FB">
        <w:rPr>
          <w:rFonts w:eastAsia="Times New Roman" w:cs="Times New Roman"/>
          <w:szCs w:val="28"/>
          <w:lang w:eastAsia="ru-RU"/>
        </w:rPr>
        <w:t xml:space="preserve"> города                                          </w:t>
      </w:r>
      <w:r w:rsidR="00CA2A72">
        <w:rPr>
          <w:rFonts w:eastAsia="Times New Roman" w:cs="Times New Roman"/>
          <w:szCs w:val="28"/>
          <w:lang w:eastAsia="ru-RU"/>
        </w:rPr>
        <w:t xml:space="preserve"> </w:t>
      </w:r>
      <w:r w:rsidR="00A858FB">
        <w:rPr>
          <w:rFonts w:eastAsia="Times New Roman" w:cs="Times New Roman"/>
          <w:szCs w:val="28"/>
          <w:lang w:eastAsia="ru-RU"/>
        </w:rPr>
        <w:t xml:space="preserve">                 </w:t>
      </w:r>
      <w:r w:rsidR="00A858FB" w:rsidRPr="004566F0">
        <w:rPr>
          <w:rFonts w:eastAsia="Times New Roman" w:cs="Times New Roman"/>
          <w:szCs w:val="28"/>
          <w:lang w:eastAsia="ru-RU"/>
        </w:rPr>
        <w:t xml:space="preserve"> </w:t>
      </w:r>
      <w:r w:rsidR="001E7D3E">
        <w:rPr>
          <w:rFonts w:eastAsia="Times New Roman" w:cs="Times New Roman"/>
          <w:szCs w:val="28"/>
          <w:lang w:eastAsia="ru-RU"/>
        </w:rPr>
        <w:t xml:space="preserve">    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="007040B4">
        <w:rPr>
          <w:rFonts w:eastAsia="Times New Roman" w:cs="Times New Roman"/>
          <w:szCs w:val="28"/>
          <w:lang w:eastAsia="ru-RU"/>
        </w:rPr>
        <w:t xml:space="preserve">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E7D3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М.Н. </w:t>
      </w:r>
      <w:proofErr w:type="spellStart"/>
      <w:r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784073" w:rsidRDefault="00784073">
      <w:pPr>
        <w:tabs>
          <w:tab w:val="left" w:pos="8220"/>
        </w:tabs>
        <w:rPr>
          <w:rFonts w:eastAsia="Times New Roman" w:cs="Times New Roman"/>
          <w:sz w:val="26"/>
          <w:szCs w:val="26"/>
          <w:lang w:eastAsia="ru-RU"/>
        </w:rPr>
      </w:pPr>
    </w:p>
    <w:p w:rsidR="00784073" w:rsidRDefault="00784073">
      <w:pPr>
        <w:rPr>
          <w:rFonts w:eastAsia="Times New Roman" w:cs="Times New Roman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B24C22" w:rsidRDefault="00B24C22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F76A68" w:rsidRDefault="00F76A68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F76A68" w:rsidRDefault="00F76A68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F76A68" w:rsidRDefault="00F76A68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F76A68" w:rsidRDefault="00F76A68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F76A68" w:rsidRDefault="00F76A68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F76A68" w:rsidRDefault="00F76A68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F76A68" w:rsidRDefault="00F76A68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F76A68" w:rsidRDefault="00F76A68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F76A68" w:rsidRDefault="00F76A68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F76A68" w:rsidRDefault="00F76A68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F76A68" w:rsidRDefault="00F76A68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F76A68" w:rsidRDefault="00F76A68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F76A68" w:rsidRDefault="00F76A68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260D3B" w:rsidRDefault="00260D3B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F76A68" w:rsidRDefault="00F76A68" w:rsidP="00573577">
      <w:pPr>
        <w:contextualSpacing/>
        <w:rPr>
          <w:rFonts w:ascii="Arial" w:eastAsia="Times New Roman" w:hAnsi="Arial" w:cs="Arial"/>
          <w:sz w:val="26"/>
          <w:szCs w:val="26"/>
          <w:lang w:eastAsia="ru-RU"/>
        </w:rPr>
      </w:pPr>
    </w:p>
    <w:p w:rsidR="00F76A68" w:rsidRPr="00F76A68" w:rsidRDefault="00F76A68" w:rsidP="00F76A68">
      <w:pPr>
        <w:shd w:val="clear" w:color="auto" w:fill="FFFFFF"/>
        <w:ind w:firstLine="5954"/>
        <w:rPr>
          <w:rFonts w:eastAsia="Times New Roman" w:cs="Times New Roman"/>
          <w:szCs w:val="28"/>
          <w:lang w:eastAsia="ru-RU"/>
        </w:rPr>
      </w:pPr>
      <w:r w:rsidRPr="00F76A68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F76A68" w:rsidRPr="00F76A68" w:rsidRDefault="00F76A68" w:rsidP="00F76A68">
      <w:pPr>
        <w:shd w:val="clear" w:color="auto" w:fill="FFFFFF"/>
        <w:ind w:firstLine="5954"/>
        <w:rPr>
          <w:rFonts w:eastAsia="Times New Roman" w:cs="Times New Roman"/>
          <w:szCs w:val="28"/>
          <w:lang w:eastAsia="ru-RU"/>
        </w:rPr>
      </w:pPr>
      <w:r w:rsidRPr="00F76A68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F76A68" w:rsidRPr="00F76A68" w:rsidRDefault="00F76A68" w:rsidP="00F76A68">
      <w:pPr>
        <w:shd w:val="clear" w:color="auto" w:fill="FFFFFF"/>
        <w:ind w:right="-109" w:firstLine="5954"/>
        <w:rPr>
          <w:rFonts w:eastAsia="Times New Roman" w:cs="Times New Roman"/>
          <w:szCs w:val="28"/>
          <w:lang w:eastAsia="ru-RU"/>
        </w:rPr>
      </w:pPr>
      <w:r w:rsidRPr="00F76A68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F76A68" w:rsidRPr="00F76A68" w:rsidRDefault="00F76A68" w:rsidP="00F76A68">
      <w:pPr>
        <w:shd w:val="clear" w:color="auto" w:fill="FFFFFF"/>
        <w:ind w:firstLine="5954"/>
        <w:rPr>
          <w:rFonts w:eastAsia="Times New Roman" w:cs="Times New Roman"/>
          <w:szCs w:val="28"/>
          <w:lang w:eastAsia="ru-RU"/>
        </w:rPr>
      </w:pPr>
      <w:r w:rsidRPr="00F76A68">
        <w:rPr>
          <w:rFonts w:eastAsia="Times New Roman" w:cs="Times New Roman"/>
          <w:szCs w:val="28"/>
          <w:lang w:eastAsia="ru-RU"/>
        </w:rPr>
        <w:t xml:space="preserve">от ____________ № _______ </w:t>
      </w:r>
    </w:p>
    <w:p w:rsidR="00F76A68" w:rsidRDefault="00F76A68" w:rsidP="00F76A68">
      <w:pPr>
        <w:shd w:val="clear" w:color="auto" w:fill="FFFFFF"/>
        <w:ind w:firstLine="5954"/>
        <w:rPr>
          <w:rFonts w:eastAsia="Times New Roman" w:cs="Times New Roman"/>
          <w:szCs w:val="28"/>
          <w:lang w:eastAsia="ru-RU"/>
        </w:rPr>
      </w:pPr>
    </w:p>
    <w:p w:rsidR="00CF6CC9" w:rsidRPr="00F76A68" w:rsidRDefault="00CF6CC9" w:rsidP="00F76A68">
      <w:pPr>
        <w:shd w:val="clear" w:color="auto" w:fill="FFFFFF"/>
        <w:ind w:firstLine="5954"/>
        <w:rPr>
          <w:rFonts w:eastAsia="Times New Roman" w:cs="Times New Roman"/>
          <w:szCs w:val="28"/>
          <w:lang w:eastAsia="ru-RU"/>
        </w:rPr>
      </w:pPr>
    </w:p>
    <w:p w:rsidR="00F76A68" w:rsidRPr="00F76A68" w:rsidRDefault="00F76A68" w:rsidP="00F76A68">
      <w:pPr>
        <w:jc w:val="center"/>
        <w:rPr>
          <w:rFonts w:eastAsia="Times New Roman" w:cs="Times New Roman"/>
          <w:szCs w:val="28"/>
          <w:lang w:eastAsia="ru-RU"/>
        </w:rPr>
      </w:pPr>
      <w:r w:rsidRPr="00F76A68">
        <w:rPr>
          <w:rFonts w:eastAsia="Times New Roman" w:cs="Times New Roman"/>
          <w:bCs/>
          <w:szCs w:val="28"/>
          <w:lang w:eastAsia="ru-RU"/>
        </w:rPr>
        <w:t>Перечень</w:t>
      </w:r>
    </w:p>
    <w:p w:rsidR="00F76A68" w:rsidRPr="00F76A68" w:rsidRDefault="00F76A68" w:rsidP="00F76A68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F76A68">
        <w:rPr>
          <w:rFonts w:eastAsia="Times New Roman" w:cs="Times New Roman"/>
          <w:bCs/>
          <w:szCs w:val="28"/>
          <w:lang w:eastAsia="ru-RU"/>
        </w:rPr>
        <w:t xml:space="preserve">первичных средств тушения пожаров и противопожарного </w:t>
      </w:r>
    </w:p>
    <w:p w:rsidR="00F76A68" w:rsidRPr="00F76A68" w:rsidRDefault="00F76A68" w:rsidP="00F76A68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F76A68">
        <w:rPr>
          <w:rFonts w:eastAsia="Times New Roman" w:cs="Times New Roman"/>
          <w:bCs/>
          <w:szCs w:val="28"/>
          <w:lang w:eastAsia="ru-RU"/>
        </w:rPr>
        <w:t xml:space="preserve">инвентаря в помещениях и строениях, находящихся в собственности </w:t>
      </w:r>
    </w:p>
    <w:p w:rsidR="00F76A68" w:rsidRDefault="00F76A68" w:rsidP="00F76A68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F76A68">
        <w:rPr>
          <w:rFonts w:eastAsia="Times New Roman" w:cs="Times New Roman"/>
          <w:bCs/>
          <w:szCs w:val="28"/>
          <w:lang w:eastAsia="ru-RU"/>
        </w:rPr>
        <w:t>(пользовании) граждан</w:t>
      </w:r>
    </w:p>
    <w:p w:rsidR="00260D3B" w:rsidRPr="00F76A68" w:rsidRDefault="00260D3B" w:rsidP="00F76A68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tbl>
      <w:tblPr>
        <w:tblStyle w:val="13"/>
        <w:tblW w:w="0" w:type="auto"/>
        <w:tblInd w:w="-147" w:type="dxa"/>
        <w:tblLook w:val="04A0" w:firstRow="1" w:lastRow="0" w:firstColumn="1" w:lastColumn="0" w:noHBand="0" w:noVBand="1"/>
      </w:tblPr>
      <w:tblGrid>
        <w:gridCol w:w="2417"/>
        <w:gridCol w:w="7358"/>
      </w:tblGrid>
      <w:tr w:rsidR="00CF6CC9" w:rsidRPr="00F76A68" w:rsidTr="00CF6CC9">
        <w:trPr>
          <w:trHeight w:val="1046"/>
        </w:trPr>
        <w:tc>
          <w:tcPr>
            <w:tcW w:w="2127" w:type="dxa"/>
          </w:tcPr>
          <w:p w:rsidR="00CF6CC9" w:rsidRPr="00CF6CC9" w:rsidRDefault="00CF6CC9" w:rsidP="00F76A6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Наименование </w:t>
            </w:r>
          </w:p>
          <w:p w:rsidR="00CF6CC9" w:rsidRPr="00CF6CC9" w:rsidRDefault="00CF6CC9" w:rsidP="00F76A68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bCs/>
                <w:szCs w:val="28"/>
                <w:lang w:eastAsia="ru-RU"/>
              </w:rPr>
              <w:t xml:space="preserve">помещения, </w:t>
            </w:r>
          </w:p>
          <w:p w:rsidR="00CF6CC9" w:rsidRPr="00CF6CC9" w:rsidRDefault="00CF6CC9" w:rsidP="00F76A6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bCs/>
                <w:szCs w:val="28"/>
                <w:lang w:eastAsia="ru-RU"/>
              </w:rPr>
              <w:t>строения</w:t>
            </w:r>
          </w:p>
        </w:tc>
        <w:tc>
          <w:tcPr>
            <w:tcW w:w="7648" w:type="dxa"/>
            <w:shd w:val="clear" w:color="auto" w:fill="auto"/>
          </w:tcPr>
          <w:p w:rsidR="00CF6CC9" w:rsidRPr="00CF6CC9" w:rsidRDefault="00CF6CC9" w:rsidP="00F76A6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>Наименование первичных средств тушения</w:t>
            </w:r>
          </w:p>
          <w:p w:rsidR="00CF6CC9" w:rsidRPr="00CF6CC9" w:rsidRDefault="00CF6CC9" w:rsidP="00F76A6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пожаров </w:t>
            </w:r>
            <w:r w:rsidRPr="00CF6CC9">
              <w:rPr>
                <w:szCs w:val="28"/>
              </w:rPr>
              <w:t>(помещения категории А)</w:t>
            </w:r>
          </w:p>
          <w:p w:rsidR="00CF6CC9" w:rsidRPr="00CF6CC9" w:rsidRDefault="00CF6CC9" w:rsidP="00F76A6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>и противопожарного инвентаря,</w:t>
            </w:r>
          </w:p>
          <w:p w:rsidR="00CF6CC9" w:rsidRPr="00CF6CC9" w:rsidRDefault="00CF6CC9" w:rsidP="00F76A6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>их количество</w:t>
            </w:r>
          </w:p>
        </w:tc>
      </w:tr>
      <w:tr w:rsidR="00CF6CC9" w:rsidRPr="00F76A68" w:rsidTr="00CF6CC9">
        <w:tc>
          <w:tcPr>
            <w:tcW w:w="2127" w:type="dxa"/>
            <w:shd w:val="clear" w:color="auto" w:fill="FFFFFF"/>
          </w:tcPr>
          <w:p w:rsidR="00CF6CC9" w:rsidRPr="00CF6CC9" w:rsidRDefault="00CF6CC9" w:rsidP="00F76A68">
            <w:pPr>
              <w:spacing w:after="192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>Многоквартирные жилые дома</w:t>
            </w:r>
          </w:p>
        </w:tc>
        <w:tc>
          <w:tcPr>
            <w:tcW w:w="7648" w:type="dxa"/>
            <w:shd w:val="clear" w:color="auto" w:fill="FFFFFF"/>
          </w:tcPr>
          <w:p w:rsidR="00CF6CC9" w:rsidRPr="00CF6CC9" w:rsidRDefault="00CF6CC9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- огнетушитель порошковый или углекислотный </w:t>
            </w:r>
          </w:p>
          <w:p w:rsidR="00CF6CC9" w:rsidRPr="00CF6CC9" w:rsidRDefault="00CF6CC9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емкостью не менее </w:t>
            </w:r>
            <w:r w:rsidR="00B953E1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 литров в коли</w:t>
            </w:r>
            <w:r w:rsidR="00811B48">
              <w:rPr>
                <w:rFonts w:eastAsia="Times New Roman" w:cs="Times New Roman"/>
                <w:szCs w:val="28"/>
                <w:lang w:eastAsia="ru-RU"/>
              </w:rPr>
              <w:t>честве 1</w:t>
            </w:r>
            <w:r w:rsidR="00D56392">
              <w:rPr>
                <w:rFonts w:eastAsia="Times New Roman" w:cs="Times New Roman"/>
                <w:szCs w:val="28"/>
                <w:lang w:eastAsia="ru-RU"/>
              </w:rPr>
              <w:t xml:space="preserve"> единицы </w:t>
            </w:r>
            <w:r w:rsidR="00811B48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CF6CC9">
              <w:rPr>
                <w:rFonts w:eastAsia="Times New Roman" w:cs="Times New Roman"/>
                <w:szCs w:val="28"/>
                <w:lang w:eastAsia="ru-RU"/>
              </w:rPr>
              <w:t>на квартиру;</w:t>
            </w:r>
          </w:p>
          <w:p w:rsidR="00CF6CC9" w:rsidRPr="00CF6CC9" w:rsidRDefault="00CF6CC9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- покрывало для изоляции очага возгорания не менее </w:t>
            </w:r>
            <w:r w:rsidR="00B953E1">
              <w:rPr>
                <w:rFonts w:eastAsia="Times New Roman" w:cs="Times New Roman"/>
                <w:szCs w:val="28"/>
                <w:lang w:eastAsia="ru-RU"/>
              </w:rPr>
              <w:br/>
              <w:t>1</w:t>
            </w: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 метра шириной и </w:t>
            </w:r>
            <w:r w:rsidR="00B953E1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 метра длиной</w:t>
            </w:r>
          </w:p>
          <w:p w:rsidR="00CF6CC9" w:rsidRPr="00CF6CC9" w:rsidRDefault="00CF6CC9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(асбестовое полотно, </w:t>
            </w:r>
            <w:proofErr w:type="spellStart"/>
            <w:r w:rsidRPr="00CF6CC9">
              <w:rPr>
                <w:rFonts w:eastAsia="Times New Roman" w:cs="Times New Roman"/>
                <w:szCs w:val="28"/>
                <w:lang w:eastAsia="ru-RU"/>
              </w:rPr>
              <w:t>грубошерстяная</w:t>
            </w:r>
            <w:proofErr w:type="spellEnd"/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 ткань или войлок)</w:t>
            </w:r>
            <w:r w:rsidR="00D56392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CF6CC9" w:rsidRPr="00F76A68" w:rsidTr="00CF6CC9">
        <w:tc>
          <w:tcPr>
            <w:tcW w:w="2127" w:type="dxa"/>
            <w:shd w:val="clear" w:color="auto" w:fill="FFFFFF"/>
          </w:tcPr>
          <w:p w:rsidR="00CF6CC9" w:rsidRPr="00CF6CC9" w:rsidRDefault="00CF6CC9" w:rsidP="00F76A68">
            <w:pPr>
              <w:spacing w:after="192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>Индивидуальные жилые дома</w:t>
            </w:r>
          </w:p>
        </w:tc>
        <w:tc>
          <w:tcPr>
            <w:tcW w:w="7648" w:type="dxa"/>
            <w:shd w:val="clear" w:color="auto" w:fill="FFFFFF"/>
          </w:tcPr>
          <w:p w:rsidR="00CF6CC9" w:rsidRPr="00CF6CC9" w:rsidRDefault="00CF6CC9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- огнетушитель порошковый или углекислотный </w:t>
            </w:r>
          </w:p>
          <w:p w:rsidR="00CF6CC9" w:rsidRPr="00CF6CC9" w:rsidRDefault="00CF6CC9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емкостью не менее </w:t>
            </w:r>
            <w:r w:rsidR="00811B48">
              <w:rPr>
                <w:rFonts w:eastAsia="Times New Roman" w:cs="Times New Roman"/>
                <w:szCs w:val="28"/>
                <w:lang w:eastAsia="ru-RU"/>
              </w:rPr>
              <w:t>3 литров в количестве 1</w:t>
            </w: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 единицы;</w:t>
            </w:r>
          </w:p>
          <w:p w:rsidR="00CF6CC9" w:rsidRPr="00CF6CC9" w:rsidRDefault="00CF6CC9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>- емкость с водой о</w:t>
            </w:r>
            <w:r w:rsidR="00D56392">
              <w:rPr>
                <w:rFonts w:eastAsia="Times New Roman" w:cs="Times New Roman"/>
                <w:szCs w:val="28"/>
                <w:lang w:eastAsia="ru-RU"/>
              </w:rPr>
              <w:t>бъем</w:t>
            </w:r>
            <w:r w:rsidR="00811B48">
              <w:rPr>
                <w:rFonts w:eastAsia="Times New Roman" w:cs="Times New Roman"/>
                <w:szCs w:val="28"/>
                <w:lang w:eastAsia="ru-RU"/>
              </w:rPr>
              <w:t xml:space="preserve">ом 200 литров в количестве </w:t>
            </w:r>
            <w:r w:rsidR="00811B48">
              <w:rPr>
                <w:rFonts w:eastAsia="Times New Roman" w:cs="Times New Roman"/>
                <w:szCs w:val="28"/>
                <w:lang w:eastAsia="ru-RU"/>
              </w:rPr>
              <w:br/>
              <w:t>1</w:t>
            </w: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 единицы на дом (в летний период);</w:t>
            </w:r>
          </w:p>
          <w:p w:rsidR="00CF6CC9" w:rsidRPr="00CF6CC9" w:rsidRDefault="00CF6CC9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- ведра емкостью не менее 10 литров в количестве </w:t>
            </w:r>
          </w:p>
          <w:p w:rsidR="00CF6CC9" w:rsidRPr="00CF6CC9" w:rsidRDefault="00D56392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не менее двух</w:t>
            </w:r>
            <w:r w:rsidR="00CF6CC9" w:rsidRPr="00CF6CC9">
              <w:rPr>
                <w:rFonts w:eastAsia="Times New Roman" w:cs="Times New Roman"/>
                <w:szCs w:val="28"/>
                <w:lang w:eastAsia="ru-RU"/>
              </w:rPr>
              <w:t xml:space="preserve"> единиц на дом;</w:t>
            </w:r>
          </w:p>
          <w:p w:rsidR="00CF6CC9" w:rsidRPr="00CF6CC9" w:rsidRDefault="00CF6CC9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>- ящик с песком объемом 0,5 куб. м</w:t>
            </w:r>
            <w:r w:rsidR="00D56392">
              <w:rPr>
                <w:rFonts w:eastAsia="Times New Roman" w:cs="Times New Roman"/>
                <w:szCs w:val="28"/>
                <w:lang w:eastAsia="ru-RU"/>
              </w:rPr>
              <w:t>етров</w:t>
            </w:r>
            <w:r w:rsidRPr="00CF6CC9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CF6CC9" w:rsidRPr="00CF6CC9" w:rsidRDefault="00CF6CC9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- топор, лом, лопата штыковая или совковая </w:t>
            </w:r>
          </w:p>
          <w:p w:rsidR="00CF6CC9" w:rsidRPr="00CF6CC9" w:rsidRDefault="00CF6CC9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по </w:t>
            </w:r>
            <w:r w:rsidR="00811B48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 единице</w:t>
            </w:r>
            <w:r w:rsidR="00D56392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CF6CC9" w:rsidRPr="00F76A68" w:rsidTr="00CF6CC9">
        <w:tc>
          <w:tcPr>
            <w:tcW w:w="2127" w:type="dxa"/>
            <w:shd w:val="clear" w:color="auto" w:fill="FFFFFF"/>
          </w:tcPr>
          <w:p w:rsidR="00CF6CC9" w:rsidRPr="00CF6CC9" w:rsidRDefault="00CF6CC9" w:rsidP="00F76A68">
            <w:pPr>
              <w:spacing w:after="192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>Гаражи</w:t>
            </w:r>
          </w:p>
        </w:tc>
        <w:tc>
          <w:tcPr>
            <w:tcW w:w="7648" w:type="dxa"/>
            <w:shd w:val="clear" w:color="auto" w:fill="FFFFFF"/>
          </w:tcPr>
          <w:p w:rsidR="00CF6CC9" w:rsidRPr="00CF6CC9" w:rsidRDefault="00CF6CC9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- огнетушитель порошковый или углекислотный </w:t>
            </w:r>
          </w:p>
          <w:p w:rsidR="00CF6CC9" w:rsidRPr="00CF6CC9" w:rsidRDefault="00CF6CC9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емкостью не менее </w:t>
            </w:r>
            <w:r w:rsidR="00B953E1">
              <w:rPr>
                <w:rFonts w:eastAsia="Times New Roman" w:cs="Times New Roman"/>
                <w:szCs w:val="28"/>
                <w:lang w:eastAsia="ru-RU"/>
              </w:rPr>
              <w:t>2 литров в количестве 1</w:t>
            </w:r>
            <w:r w:rsidR="00D56392">
              <w:rPr>
                <w:rFonts w:eastAsia="Times New Roman" w:cs="Times New Roman"/>
                <w:szCs w:val="28"/>
                <w:lang w:eastAsia="ru-RU"/>
              </w:rPr>
              <w:t xml:space="preserve"> единицы </w:t>
            </w:r>
            <w:r w:rsidR="00B953E1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CF6CC9">
              <w:rPr>
                <w:rFonts w:eastAsia="Times New Roman" w:cs="Times New Roman"/>
                <w:szCs w:val="28"/>
                <w:lang w:eastAsia="ru-RU"/>
              </w:rPr>
              <w:t>на помещение;</w:t>
            </w:r>
          </w:p>
          <w:p w:rsidR="00CF6CC9" w:rsidRPr="00CF6CC9" w:rsidRDefault="00D56392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трос в коли</w:t>
            </w:r>
            <w:r w:rsidR="00B953E1">
              <w:rPr>
                <w:rFonts w:eastAsia="Times New Roman" w:cs="Times New Roman"/>
                <w:szCs w:val="28"/>
                <w:lang w:eastAsia="ru-RU"/>
              </w:rPr>
              <w:t>честве 1</w:t>
            </w:r>
            <w:r w:rsidR="00CF6CC9" w:rsidRPr="00CF6CC9">
              <w:rPr>
                <w:rFonts w:eastAsia="Times New Roman" w:cs="Times New Roman"/>
                <w:szCs w:val="28"/>
                <w:lang w:eastAsia="ru-RU"/>
              </w:rPr>
              <w:t xml:space="preserve"> единицы на автомобиль;</w:t>
            </w:r>
          </w:p>
          <w:p w:rsidR="00CF6CC9" w:rsidRPr="00CF6CC9" w:rsidRDefault="00CF6CC9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- топор, лом, лопата штыковая или совковая по </w:t>
            </w:r>
            <w:r w:rsidR="00811B48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 единице</w:t>
            </w:r>
            <w:r w:rsidR="00D56392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CF6CC9" w:rsidRPr="00F76A68" w:rsidTr="00CF6CC9">
        <w:tc>
          <w:tcPr>
            <w:tcW w:w="2127" w:type="dxa"/>
            <w:shd w:val="clear" w:color="auto" w:fill="FFFFFF"/>
          </w:tcPr>
          <w:p w:rsidR="00CF6CC9" w:rsidRPr="00CF6CC9" w:rsidRDefault="00CF6CC9" w:rsidP="00F76A6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Дачные дома, </w:t>
            </w:r>
          </w:p>
          <w:p w:rsidR="00CF6CC9" w:rsidRPr="00CF6CC9" w:rsidRDefault="00CF6CC9" w:rsidP="00F76A6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>вспомогательные, подсобные,</w:t>
            </w:r>
          </w:p>
          <w:p w:rsidR="00CF6CC9" w:rsidRPr="00CF6CC9" w:rsidRDefault="00CF6CC9" w:rsidP="00F76A6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>хозяйственные</w:t>
            </w:r>
          </w:p>
          <w:p w:rsidR="00CF6CC9" w:rsidRPr="00CF6CC9" w:rsidRDefault="00CF6CC9" w:rsidP="00F76A6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>постройки</w:t>
            </w:r>
          </w:p>
        </w:tc>
        <w:tc>
          <w:tcPr>
            <w:tcW w:w="7648" w:type="dxa"/>
            <w:shd w:val="clear" w:color="auto" w:fill="FFFFFF"/>
          </w:tcPr>
          <w:p w:rsidR="00CF6CC9" w:rsidRPr="00CF6CC9" w:rsidRDefault="00CF6CC9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- емкость с водой объемом 200 литров в количестве </w:t>
            </w:r>
            <w:r w:rsidR="00D56392">
              <w:rPr>
                <w:rFonts w:eastAsia="Times New Roman" w:cs="Times New Roman"/>
                <w:szCs w:val="28"/>
                <w:lang w:eastAsia="ru-RU"/>
              </w:rPr>
              <w:t>одной</w:t>
            </w: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 единицы (в летний период);</w:t>
            </w:r>
          </w:p>
          <w:p w:rsidR="00CF6CC9" w:rsidRPr="00CF6CC9" w:rsidRDefault="00CF6CC9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- ведра емкостью не менее 10 литров в количестве </w:t>
            </w:r>
          </w:p>
          <w:p w:rsidR="00CF6CC9" w:rsidRPr="00CF6CC9" w:rsidRDefault="00CF6CC9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не менее </w:t>
            </w:r>
            <w:r w:rsidR="00B953E1">
              <w:rPr>
                <w:rFonts w:eastAsia="Times New Roman" w:cs="Times New Roman"/>
                <w:szCs w:val="28"/>
                <w:lang w:eastAsia="ru-RU"/>
              </w:rPr>
              <w:t>2</w:t>
            </w: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 единиц на дом, постройку;</w:t>
            </w:r>
          </w:p>
          <w:p w:rsidR="00CF6CC9" w:rsidRPr="00CF6CC9" w:rsidRDefault="00CF6CC9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- ящик с песком объемом 0,5 куб. </w:t>
            </w:r>
            <w:r w:rsidR="00D56392" w:rsidRPr="00CF6CC9">
              <w:rPr>
                <w:rFonts w:eastAsia="Times New Roman" w:cs="Times New Roman"/>
                <w:szCs w:val="28"/>
                <w:lang w:eastAsia="ru-RU"/>
              </w:rPr>
              <w:t>м</w:t>
            </w:r>
            <w:r w:rsidR="00D56392">
              <w:rPr>
                <w:rFonts w:eastAsia="Times New Roman" w:cs="Times New Roman"/>
                <w:szCs w:val="28"/>
                <w:lang w:eastAsia="ru-RU"/>
              </w:rPr>
              <w:t>етров</w:t>
            </w:r>
            <w:r w:rsidRPr="00CF6CC9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CF6CC9" w:rsidRPr="00CF6CC9" w:rsidRDefault="00CF6CC9" w:rsidP="00D5639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F6CC9">
              <w:rPr>
                <w:rFonts w:eastAsia="Times New Roman" w:cs="Times New Roman"/>
                <w:szCs w:val="28"/>
                <w:lang w:eastAsia="ru-RU"/>
              </w:rPr>
              <w:t>- топор, лом, л</w:t>
            </w:r>
            <w:r w:rsidR="00D56392">
              <w:rPr>
                <w:rFonts w:eastAsia="Times New Roman" w:cs="Times New Roman"/>
                <w:szCs w:val="28"/>
                <w:lang w:eastAsia="ru-RU"/>
              </w:rPr>
              <w:t>опат</w:t>
            </w:r>
            <w:r w:rsidR="00B953E1">
              <w:rPr>
                <w:rFonts w:eastAsia="Times New Roman" w:cs="Times New Roman"/>
                <w:szCs w:val="28"/>
                <w:lang w:eastAsia="ru-RU"/>
              </w:rPr>
              <w:t>а штыковая или совковая по 1</w:t>
            </w:r>
            <w:r w:rsidRPr="00CF6CC9">
              <w:rPr>
                <w:rFonts w:eastAsia="Times New Roman" w:cs="Times New Roman"/>
                <w:szCs w:val="28"/>
                <w:lang w:eastAsia="ru-RU"/>
              </w:rPr>
              <w:t xml:space="preserve"> единице</w:t>
            </w:r>
            <w:r w:rsidR="00D56392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</w:tbl>
    <w:p w:rsidR="00F76A68" w:rsidRDefault="00F76A68" w:rsidP="00C37C8A">
      <w:pPr>
        <w:contextualSpacing/>
        <w:rPr>
          <w:rFonts w:ascii="Arial" w:eastAsia="Times New Roman" w:hAnsi="Arial" w:cs="Arial"/>
          <w:sz w:val="26"/>
          <w:szCs w:val="26"/>
          <w:lang w:eastAsia="ru-RU"/>
        </w:rPr>
      </w:pPr>
    </w:p>
    <w:p w:rsidR="00075255" w:rsidRDefault="00075255" w:rsidP="00C37C8A">
      <w:pPr>
        <w:contextualSpacing/>
        <w:rPr>
          <w:rFonts w:ascii="Arial" w:eastAsia="Times New Roman" w:hAnsi="Arial" w:cs="Arial"/>
          <w:sz w:val="26"/>
          <w:szCs w:val="26"/>
          <w:lang w:eastAsia="ru-RU"/>
        </w:rPr>
      </w:pPr>
    </w:p>
    <w:p w:rsidR="00075255" w:rsidRPr="00075255" w:rsidRDefault="00075255" w:rsidP="00C37C8A">
      <w:pPr>
        <w:contextualSpacing/>
        <w:rPr>
          <w:rFonts w:eastAsia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6"/>
          <w:szCs w:val="26"/>
          <w:lang w:eastAsia="ru-RU"/>
        </w:rPr>
        <w:t xml:space="preserve">Исполнитель: Платонова Е.А. – главный специалист </w:t>
      </w:r>
      <w:proofErr w:type="spellStart"/>
      <w:r>
        <w:rPr>
          <w:rFonts w:eastAsia="Times New Roman" w:cs="Times New Roman"/>
          <w:sz w:val="26"/>
          <w:szCs w:val="26"/>
          <w:lang w:eastAsia="ru-RU"/>
        </w:rPr>
        <w:t>ГоиЧС</w:t>
      </w:r>
      <w:proofErr w:type="spellEnd"/>
      <w:r>
        <w:rPr>
          <w:rFonts w:eastAsia="Times New Roman" w:cs="Times New Roman"/>
          <w:sz w:val="26"/>
          <w:szCs w:val="26"/>
          <w:lang w:eastAsia="ru-RU"/>
        </w:rPr>
        <w:t>, тел.8(3462) 52-40-42</w:t>
      </w:r>
    </w:p>
    <w:sectPr w:rsidR="00075255" w:rsidRPr="00075255" w:rsidSect="00C37C8A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961" w:rsidRDefault="00744961">
      <w:r>
        <w:separator/>
      </w:r>
    </w:p>
  </w:endnote>
  <w:endnote w:type="continuationSeparator" w:id="0">
    <w:p w:rsidR="00744961" w:rsidRDefault="0074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961" w:rsidRDefault="00744961">
      <w:r>
        <w:separator/>
      </w:r>
    </w:p>
  </w:footnote>
  <w:footnote w:type="continuationSeparator" w:id="0">
    <w:p w:rsidR="00744961" w:rsidRDefault="0074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6545395"/>
      <w:docPartObj>
        <w:docPartGallery w:val="Page Numbers (Top of Page)"/>
        <w:docPartUnique/>
      </w:docPartObj>
    </w:sdtPr>
    <w:sdtEndPr/>
    <w:sdtContent>
      <w:p w:rsidR="00C37C8A" w:rsidRDefault="00C37C8A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255">
          <w:rPr>
            <w:noProof/>
          </w:rPr>
          <w:t>2</w:t>
        </w:r>
        <w:r>
          <w:fldChar w:fldCharType="end"/>
        </w:r>
      </w:p>
    </w:sdtContent>
  </w:sdt>
  <w:p w:rsidR="00C37C8A" w:rsidRDefault="00C37C8A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C8A" w:rsidRDefault="00C37C8A">
    <w:pPr>
      <w:pStyle w:val="af4"/>
      <w:jc w:val="center"/>
    </w:pPr>
  </w:p>
  <w:p w:rsidR="00260D3B" w:rsidRDefault="00260D3B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6B5"/>
    <w:multiLevelType w:val="hybridMultilevel"/>
    <w:tmpl w:val="237803AA"/>
    <w:lvl w:ilvl="0" w:tplc="0D641CD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8790"/>
    <w:multiLevelType w:val="multilevel"/>
    <w:tmpl w:val="6BB6A69A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1F123F1"/>
    <w:multiLevelType w:val="hybridMultilevel"/>
    <w:tmpl w:val="0AD4D444"/>
    <w:lvl w:ilvl="0" w:tplc="66621460">
      <w:start w:val="3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4D945F21"/>
    <w:multiLevelType w:val="hybridMultilevel"/>
    <w:tmpl w:val="12522D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82B2A"/>
    <w:multiLevelType w:val="hybridMultilevel"/>
    <w:tmpl w:val="52867944"/>
    <w:lvl w:ilvl="0" w:tplc="B97680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94ECD"/>
    <w:multiLevelType w:val="multilevel"/>
    <w:tmpl w:val="AE64CE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75C66EBE"/>
    <w:multiLevelType w:val="multilevel"/>
    <w:tmpl w:val="75C66E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7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7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73"/>
    <w:rsid w:val="00002AFF"/>
    <w:rsid w:val="000460BD"/>
    <w:rsid w:val="000519AA"/>
    <w:rsid w:val="00075255"/>
    <w:rsid w:val="000924A9"/>
    <w:rsid w:val="000E6204"/>
    <w:rsid w:val="000E63DF"/>
    <w:rsid w:val="000E7D10"/>
    <w:rsid w:val="00114718"/>
    <w:rsid w:val="001B32C0"/>
    <w:rsid w:val="001D76AF"/>
    <w:rsid w:val="001E7D3E"/>
    <w:rsid w:val="00260D3B"/>
    <w:rsid w:val="002A2145"/>
    <w:rsid w:val="002C2D8C"/>
    <w:rsid w:val="002D09CD"/>
    <w:rsid w:val="002F15BC"/>
    <w:rsid w:val="00317C5D"/>
    <w:rsid w:val="00330F5D"/>
    <w:rsid w:val="00333A0A"/>
    <w:rsid w:val="00356567"/>
    <w:rsid w:val="003620B2"/>
    <w:rsid w:val="00364E20"/>
    <w:rsid w:val="003737CE"/>
    <w:rsid w:val="003913BC"/>
    <w:rsid w:val="00393521"/>
    <w:rsid w:val="003C0C7E"/>
    <w:rsid w:val="003C5136"/>
    <w:rsid w:val="003F4E32"/>
    <w:rsid w:val="004043B8"/>
    <w:rsid w:val="00432BE4"/>
    <w:rsid w:val="00445D5D"/>
    <w:rsid w:val="004530B4"/>
    <w:rsid w:val="004566F0"/>
    <w:rsid w:val="004804B2"/>
    <w:rsid w:val="004A1B52"/>
    <w:rsid w:val="004C1A12"/>
    <w:rsid w:val="004D6938"/>
    <w:rsid w:val="004E1FC4"/>
    <w:rsid w:val="00514CEF"/>
    <w:rsid w:val="00520DAB"/>
    <w:rsid w:val="00543B37"/>
    <w:rsid w:val="00551FB2"/>
    <w:rsid w:val="00552B08"/>
    <w:rsid w:val="005643C1"/>
    <w:rsid w:val="00573577"/>
    <w:rsid w:val="0062363B"/>
    <w:rsid w:val="00640DC1"/>
    <w:rsid w:val="00685D5E"/>
    <w:rsid w:val="006C061F"/>
    <w:rsid w:val="006C1A19"/>
    <w:rsid w:val="006C60A6"/>
    <w:rsid w:val="006F6DAE"/>
    <w:rsid w:val="007040B4"/>
    <w:rsid w:val="00706C34"/>
    <w:rsid w:val="007116AF"/>
    <w:rsid w:val="00717F0C"/>
    <w:rsid w:val="00744961"/>
    <w:rsid w:val="00761CFF"/>
    <w:rsid w:val="00784073"/>
    <w:rsid w:val="007843ED"/>
    <w:rsid w:val="007D24A8"/>
    <w:rsid w:val="007D5E86"/>
    <w:rsid w:val="007E41F8"/>
    <w:rsid w:val="007F71E3"/>
    <w:rsid w:val="00811B48"/>
    <w:rsid w:val="00846E39"/>
    <w:rsid w:val="0084735D"/>
    <w:rsid w:val="008631A6"/>
    <w:rsid w:val="0088198C"/>
    <w:rsid w:val="00882ADB"/>
    <w:rsid w:val="008848A0"/>
    <w:rsid w:val="00885572"/>
    <w:rsid w:val="008D047F"/>
    <w:rsid w:val="0090703F"/>
    <w:rsid w:val="009102A0"/>
    <w:rsid w:val="0092629E"/>
    <w:rsid w:val="0094662C"/>
    <w:rsid w:val="0095705C"/>
    <w:rsid w:val="00972C0D"/>
    <w:rsid w:val="009A6425"/>
    <w:rsid w:val="009C67D3"/>
    <w:rsid w:val="009E0960"/>
    <w:rsid w:val="009E4A23"/>
    <w:rsid w:val="009F7AE4"/>
    <w:rsid w:val="00A35347"/>
    <w:rsid w:val="00A456FE"/>
    <w:rsid w:val="00A75793"/>
    <w:rsid w:val="00A858FB"/>
    <w:rsid w:val="00AA1278"/>
    <w:rsid w:val="00AB051A"/>
    <w:rsid w:val="00AD1B08"/>
    <w:rsid w:val="00AD49B5"/>
    <w:rsid w:val="00AF6922"/>
    <w:rsid w:val="00B12D53"/>
    <w:rsid w:val="00B203E8"/>
    <w:rsid w:val="00B24C22"/>
    <w:rsid w:val="00B554C8"/>
    <w:rsid w:val="00B70811"/>
    <w:rsid w:val="00B74989"/>
    <w:rsid w:val="00B80C05"/>
    <w:rsid w:val="00B81D8F"/>
    <w:rsid w:val="00B90BA4"/>
    <w:rsid w:val="00B953E1"/>
    <w:rsid w:val="00BA7497"/>
    <w:rsid w:val="00BF24CC"/>
    <w:rsid w:val="00BF3861"/>
    <w:rsid w:val="00C11541"/>
    <w:rsid w:val="00C37C8A"/>
    <w:rsid w:val="00C74705"/>
    <w:rsid w:val="00CA2A72"/>
    <w:rsid w:val="00CA4AE4"/>
    <w:rsid w:val="00CB3C7F"/>
    <w:rsid w:val="00CB5C4F"/>
    <w:rsid w:val="00CD05B0"/>
    <w:rsid w:val="00CE1960"/>
    <w:rsid w:val="00CF27B9"/>
    <w:rsid w:val="00CF2D63"/>
    <w:rsid w:val="00CF6CC9"/>
    <w:rsid w:val="00D0779D"/>
    <w:rsid w:val="00D12378"/>
    <w:rsid w:val="00D30795"/>
    <w:rsid w:val="00D5087F"/>
    <w:rsid w:val="00D56392"/>
    <w:rsid w:val="00D9776D"/>
    <w:rsid w:val="00DA0416"/>
    <w:rsid w:val="00DC0BD8"/>
    <w:rsid w:val="00DD2EB6"/>
    <w:rsid w:val="00E168D9"/>
    <w:rsid w:val="00E32894"/>
    <w:rsid w:val="00E32F57"/>
    <w:rsid w:val="00E362EC"/>
    <w:rsid w:val="00E5157B"/>
    <w:rsid w:val="00E71443"/>
    <w:rsid w:val="00E90C64"/>
    <w:rsid w:val="00EA4650"/>
    <w:rsid w:val="00F00210"/>
    <w:rsid w:val="00F17727"/>
    <w:rsid w:val="00F23AC0"/>
    <w:rsid w:val="00F24777"/>
    <w:rsid w:val="00F41EE2"/>
    <w:rsid w:val="00F76A68"/>
    <w:rsid w:val="00F81B6F"/>
    <w:rsid w:val="00FE4F4F"/>
    <w:rsid w:val="05E44EFD"/>
    <w:rsid w:val="2DDE574E"/>
    <w:rsid w:val="308E3E56"/>
    <w:rsid w:val="36B82964"/>
    <w:rsid w:val="38A0351B"/>
    <w:rsid w:val="45A45AEF"/>
    <w:rsid w:val="51A178A7"/>
    <w:rsid w:val="52BD236D"/>
    <w:rsid w:val="647C0AC8"/>
    <w:rsid w:val="780A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4BF0C"/>
  <w15:docId w15:val="{6F2ECC46-77AB-48BF-8D79-226EA8D0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57B"/>
    <w:rPr>
      <w:rFonts w:eastAsiaTheme="minorHAnsi" w:cstheme="minorBidi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8">
    <w:name w:val="page number"/>
    <w:basedOn w:val="a0"/>
    <w:qFormat/>
  </w:style>
  <w:style w:type="paragraph" w:styleId="a9">
    <w:name w:val="Balloon Text"/>
    <w:basedOn w:val="a"/>
    <w:link w:val="a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qFormat/>
    <w:rPr>
      <w:sz w:val="20"/>
    </w:rPr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qFormat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qFormat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4">
    <w:name w:val="head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6">
    <w:name w:val="Body Text"/>
    <w:basedOn w:val="a"/>
    <w:qFormat/>
    <w:pPr>
      <w:jc w:val="both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7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8">
    <w:name w:val="Title"/>
    <w:basedOn w:val="a"/>
    <w:next w:val="a"/>
    <w:link w:val="af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a">
    <w:name w:val="footer"/>
    <w:basedOn w:val="a"/>
    <w:link w:val="afb"/>
    <w:uiPriority w:val="99"/>
    <w:unhideWhenUsed/>
    <w:qFormat/>
    <w:pPr>
      <w:tabs>
        <w:tab w:val="center" w:pos="4677"/>
        <w:tab w:val="right" w:pos="9355"/>
      </w:tabs>
    </w:pPr>
  </w:style>
  <w:style w:type="paragraph" w:styleId="afc">
    <w:name w:val="Normal (Web)"/>
    <w:basedOn w:val="a"/>
    <w:uiPriority w:val="99"/>
    <w:pPr>
      <w:spacing w:before="100" w:beforeAutospacing="1" w:after="100" w:afterAutospacing="1"/>
    </w:pPr>
  </w:style>
  <w:style w:type="paragraph" w:styleId="afd">
    <w:name w:val="Subtitle"/>
    <w:basedOn w:val="a"/>
    <w:next w:val="a"/>
    <w:link w:val="afe"/>
    <w:uiPriority w:val="11"/>
    <w:qFormat/>
    <w:pPr>
      <w:spacing w:before="200" w:after="200"/>
    </w:pPr>
    <w:rPr>
      <w:sz w:val="24"/>
      <w:szCs w:val="24"/>
    </w:rPr>
  </w:style>
  <w:style w:type="table" w:styleId="aff">
    <w:name w:val="Table Grid"/>
    <w:basedOn w:val="a1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Заголовок Знак"/>
    <w:basedOn w:val="a0"/>
    <w:link w:val="af8"/>
    <w:uiPriority w:val="10"/>
    <w:qFormat/>
    <w:rPr>
      <w:sz w:val="48"/>
      <w:szCs w:val="48"/>
    </w:rPr>
  </w:style>
  <w:style w:type="character" w:customStyle="1" w:styleId="afe">
    <w:name w:val="Подзаголовок Знак"/>
    <w:basedOn w:val="a0"/>
    <w:link w:val="afd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f1">
    <w:name w:val="Intense Quote"/>
    <w:basedOn w:val="a"/>
    <w:next w:val="a"/>
    <w:link w:val="af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2">
    <w:name w:val="Выделенная цитата Знак"/>
    <w:link w:val="aff1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3">
    <w:name w:val="Текст сноски Знак"/>
    <w:link w:val="af2"/>
    <w:uiPriority w:val="99"/>
    <w:qFormat/>
    <w:rPr>
      <w:sz w:val="18"/>
    </w:rPr>
  </w:style>
  <w:style w:type="character" w:customStyle="1" w:styleId="ac">
    <w:name w:val="Текст концевой сноски Знак"/>
    <w:link w:val="ab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qFormat/>
    <w:rPr>
      <w:rFonts w:ascii="Times New Roman" w:hAnsi="Times New Roman"/>
      <w:sz w:val="28"/>
    </w:rPr>
  </w:style>
  <w:style w:type="character" w:customStyle="1" w:styleId="afb">
    <w:name w:val="Нижний колонтитул Знак"/>
    <w:basedOn w:val="a0"/>
    <w:link w:val="afa"/>
    <w:uiPriority w:val="99"/>
    <w:qFormat/>
    <w:rPr>
      <w:rFonts w:ascii="Times New Roman" w:hAnsi="Times New Roman"/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qFormat/>
    <w:rPr>
      <w:rFonts w:ascii="Times New Roman" w:hAnsi="Times New Roman"/>
      <w:b/>
      <w:bCs/>
      <w:sz w:val="20"/>
      <w:szCs w:val="20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character" w:customStyle="1" w:styleId="msonormal0">
    <w:name w:val="msonormal"/>
    <w:basedOn w:val="a0"/>
    <w:qFormat/>
  </w:style>
  <w:style w:type="table" w:customStyle="1" w:styleId="13">
    <w:name w:val="Сетка таблицы1"/>
    <w:basedOn w:val="a1"/>
    <w:next w:val="aff"/>
    <w:rsid w:val="00F76A6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11E5-AD2D-45F9-ADB6-A4D1D590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Мельничану Лилия Николаевна</cp:lastModifiedBy>
  <cp:revision>4</cp:revision>
  <cp:lastPrinted>2025-11-14T05:53:00Z</cp:lastPrinted>
  <dcterms:created xsi:type="dcterms:W3CDTF">2025-12-19T09:01:00Z</dcterms:created>
  <dcterms:modified xsi:type="dcterms:W3CDTF">2025-12-19T09:03:00Z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817DA1CFC5274E38884B49DF7E638D19_13</vt:lpwstr>
  </property>
</Properties>
</file>