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EB" w:rsidRPr="00365770" w:rsidRDefault="00B971EB" w:rsidP="00B97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5770">
        <w:rPr>
          <w:rFonts w:eastAsia="Calibri"/>
          <w:b/>
          <w:sz w:val="28"/>
          <w:szCs w:val="28"/>
          <w:lang w:eastAsia="en-US"/>
        </w:rPr>
        <w:t>Состояние травматизма в организациях города Сургута</w:t>
      </w:r>
    </w:p>
    <w:p w:rsidR="00B971EB" w:rsidRPr="00365770" w:rsidRDefault="00B971EB" w:rsidP="00B97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5770">
        <w:rPr>
          <w:rFonts w:eastAsia="Calibri"/>
          <w:b/>
          <w:sz w:val="28"/>
          <w:szCs w:val="28"/>
          <w:lang w:eastAsia="en-US"/>
        </w:rPr>
        <w:t xml:space="preserve"> за </w:t>
      </w:r>
      <w:r w:rsidR="00311C2E">
        <w:rPr>
          <w:rFonts w:eastAsia="Calibri"/>
          <w:b/>
          <w:sz w:val="28"/>
          <w:szCs w:val="28"/>
          <w:lang w:eastAsia="en-US"/>
        </w:rPr>
        <w:t>2</w:t>
      </w:r>
      <w:r w:rsidRPr="00365770">
        <w:rPr>
          <w:rFonts w:eastAsia="Calibri"/>
          <w:b/>
          <w:sz w:val="28"/>
          <w:szCs w:val="28"/>
          <w:lang w:eastAsia="en-US"/>
        </w:rPr>
        <w:t xml:space="preserve"> квартал  2015 года</w:t>
      </w:r>
    </w:p>
    <w:p w:rsidR="00B971EB" w:rsidRPr="00CE161F" w:rsidRDefault="00B971EB" w:rsidP="00B971EB">
      <w:pPr>
        <w:jc w:val="center"/>
        <w:rPr>
          <w:rFonts w:eastAsia="Calibri"/>
          <w:sz w:val="28"/>
          <w:szCs w:val="28"/>
          <w:lang w:eastAsia="en-US"/>
        </w:rPr>
      </w:pPr>
      <w:r w:rsidRPr="00CE161F">
        <w:rPr>
          <w:rFonts w:eastAsia="Calibri"/>
          <w:sz w:val="28"/>
          <w:szCs w:val="28"/>
          <w:lang w:eastAsia="en-US"/>
        </w:rPr>
        <w:tab/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 xml:space="preserve">Во 2 квартале  2015 года в организациях города произошло 13 несчастных случаев, в которых пострадало 14 человек, в том числе со смертельным исходом 8 человек. 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По результатам расследования 6 несчастных случаев признаны  производственными. В них  пострадало 7 человек, в том числе 2 со смертельным исходом.</w:t>
      </w:r>
    </w:p>
    <w:p w:rsidR="00311C2E" w:rsidRPr="00311C2E" w:rsidRDefault="00311C2E" w:rsidP="00311C2E">
      <w:pPr>
        <w:ind w:firstLine="567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В производственных несчастных случаях: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- 2 человека получили тяжёлые травмы в результате нарушений требований безопасности при эксплуатации транспортных средств;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 xml:space="preserve">-  1 несчастный случай связан с нарушением требований безопасности при производстве земляных работ (обрушение грунта); 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 xml:space="preserve">- 1 групповой несчастный случай, в котором пострадало 2 человека (лёгкая и тяжёлая степень тяжести), связан с воздействием высоких температур при локализации возгорания на буровой площадке. 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-    2 человека погибли по причинам: падение с высоты при производстве электромонтажных работ;  падение предмета  с высоты (деталь от ковша экскаватора) при производстве земляных работ.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Согласно материалам расследования, по решению комиссии по расследованию несчастных случаев, 7 из зарегистрированных случаев признаны несвязанные с производством, в них пострадало  7 человек, 6 из которых со смертельным исходом.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Причины: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- общее заболевание пострадавших – 6 человек,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-  1 человек  пострадал  при падении на влажном полу.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Несчастные случаи в 2 квартале произошли в организациях нефтегазодобывающей отрасли, строительства, транспорта, а также на  производственных предприятиях.</w:t>
      </w:r>
    </w:p>
    <w:p w:rsidR="00311C2E" w:rsidRPr="00311C2E" w:rsidRDefault="00311C2E" w:rsidP="00311C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1C2E">
        <w:rPr>
          <w:rFonts w:eastAsia="Calibri"/>
          <w:sz w:val="28"/>
          <w:szCs w:val="28"/>
          <w:lang w:eastAsia="en-US"/>
        </w:rPr>
        <w:t>Более подробная информация об обстоятельствах, видах выполняемых работ пострадавшими, о причинах несчастных случаев, а также о  принятых мерах по результатам расследования представлена в табличной форме.</w:t>
      </w:r>
    </w:p>
    <w:p w:rsidR="00B971EB" w:rsidRDefault="00B971EB" w:rsidP="00B971E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71EB" w:rsidRPr="00365770" w:rsidRDefault="00B971EB" w:rsidP="00B97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5770">
        <w:rPr>
          <w:rFonts w:eastAsia="Calibri"/>
          <w:b/>
          <w:sz w:val="28"/>
          <w:szCs w:val="28"/>
          <w:lang w:eastAsia="en-US"/>
        </w:rPr>
        <w:t>Анализ травматизма в организациях города Сургута</w:t>
      </w:r>
    </w:p>
    <w:p w:rsidR="00B971EB" w:rsidRPr="00365770" w:rsidRDefault="00B971EB" w:rsidP="00B97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5770">
        <w:rPr>
          <w:rFonts w:eastAsia="Calibri"/>
          <w:b/>
          <w:sz w:val="28"/>
          <w:szCs w:val="28"/>
          <w:lang w:eastAsia="en-US"/>
        </w:rPr>
        <w:t xml:space="preserve"> за </w:t>
      </w:r>
      <w:r w:rsidR="00311C2E">
        <w:rPr>
          <w:rFonts w:eastAsia="Calibri"/>
          <w:b/>
          <w:sz w:val="28"/>
          <w:szCs w:val="28"/>
          <w:lang w:eastAsia="en-US"/>
        </w:rPr>
        <w:t>1 полугодие</w:t>
      </w:r>
      <w:r w:rsidRPr="00365770">
        <w:rPr>
          <w:rFonts w:eastAsia="Calibri"/>
          <w:b/>
          <w:sz w:val="28"/>
          <w:szCs w:val="28"/>
          <w:lang w:eastAsia="en-US"/>
        </w:rPr>
        <w:t xml:space="preserve"> 2015 года</w:t>
      </w:r>
    </w:p>
    <w:p w:rsidR="00B971EB" w:rsidRPr="00CE161F" w:rsidRDefault="00B971EB" w:rsidP="00B971EB">
      <w:pPr>
        <w:jc w:val="center"/>
        <w:rPr>
          <w:rFonts w:eastAsia="Calibri"/>
          <w:sz w:val="28"/>
          <w:szCs w:val="28"/>
          <w:lang w:eastAsia="en-US"/>
        </w:rPr>
      </w:pPr>
      <w:r w:rsidRPr="00CE161F">
        <w:rPr>
          <w:rFonts w:eastAsia="Calibri"/>
          <w:sz w:val="28"/>
          <w:szCs w:val="28"/>
          <w:lang w:eastAsia="en-US"/>
        </w:rPr>
        <w:tab/>
      </w:r>
    </w:p>
    <w:p w:rsidR="00A44E97" w:rsidRDefault="00903720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1 полугодие</w:t>
      </w:r>
      <w:r w:rsidR="00B971EB" w:rsidRPr="00CE161F">
        <w:rPr>
          <w:rFonts w:eastAsia="Calibri"/>
          <w:sz w:val="28"/>
          <w:szCs w:val="28"/>
          <w:lang w:eastAsia="en-US"/>
        </w:rPr>
        <w:t xml:space="preserve"> 2015 года в организациях города произошло </w:t>
      </w:r>
      <w:r w:rsidR="00346C0E">
        <w:rPr>
          <w:rFonts w:eastAsia="Calibri"/>
          <w:sz w:val="28"/>
          <w:szCs w:val="28"/>
          <w:lang w:eastAsia="en-US"/>
        </w:rPr>
        <w:t>33</w:t>
      </w:r>
      <w:r w:rsidR="00B971EB">
        <w:rPr>
          <w:rFonts w:eastAsia="Calibri"/>
          <w:sz w:val="28"/>
          <w:szCs w:val="28"/>
          <w:lang w:eastAsia="en-US"/>
        </w:rPr>
        <w:t xml:space="preserve"> </w:t>
      </w:r>
      <w:r w:rsidR="00B971EB" w:rsidRPr="00CE161F">
        <w:rPr>
          <w:rFonts w:eastAsia="Calibri"/>
          <w:sz w:val="28"/>
          <w:szCs w:val="28"/>
          <w:lang w:eastAsia="en-US"/>
        </w:rPr>
        <w:t>несчастных случа</w:t>
      </w:r>
      <w:r w:rsidR="00346C0E">
        <w:rPr>
          <w:rFonts w:eastAsia="Calibri"/>
          <w:sz w:val="28"/>
          <w:szCs w:val="28"/>
          <w:lang w:eastAsia="en-US"/>
        </w:rPr>
        <w:t>я</w:t>
      </w:r>
      <w:r w:rsidR="00B971EB">
        <w:rPr>
          <w:rFonts w:eastAsia="Calibri"/>
          <w:sz w:val="28"/>
          <w:szCs w:val="28"/>
          <w:lang w:eastAsia="en-US"/>
        </w:rPr>
        <w:t>,</w:t>
      </w:r>
      <w:r w:rsidR="00B971EB" w:rsidRPr="00CE161F">
        <w:rPr>
          <w:rFonts w:eastAsia="Calibri"/>
          <w:sz w:val="28"/>
          <w:szCs w:val="28"/>
          <w:lang w:eastAsia="en-US"/>
        </w:rPr>
        <w:t xml:space="preserve"> в которых пострадало </w:t>
      </w:r>
      <w:r w:rsidR="00346C0E">
        <w:rPr>
          <w:rFonts w:eastAsia="Calibri"/>
          <w:sz w:val="28"/>
          <w:szCs w:val="28"/>
          <w:lang w:eastAsia="en-US"/>
        </w:rPr>
        <w:t>36</w:t>
      </w:r>
      <w:r w:rsidR="00B971EB" w:rsidRPr="00CE161F">
        <w:rPr>
          <w:rFonts w:eastAsia="Calibri"/>
          <w:sz w:val="28"/>
          <w:szCs w:val="28"/>
          <w:lang w:eastAsia="en-US"/>
        </w:rPr>
        <w:t xml:space="preserve"> человек, в том числе со смертельным исходом </w:t>
      </w:r>
      <w:r w:rsidR="00346C0E">
        <w:rPr>
          <w:rFonts w:eastAsia="Calibri"/>
          <w:sz w:val="28"/>
          <w:szCs w:val="28"/>
          <w:lang w:eastAsia="en-US"/>
        </w:rPr>
        <w:t>21</w:t>
      </w:r>
      <w:r w:rsidR="00B971EB" w:rsidRPr="00CE161F">
        <w:rPr>
          <w:rFonts w:eastAsia="Calibri"/>
          <w:sz w:val="28"/>
          <w:szCs w:val="28"/>
          <w:lang w:eastAsia="en-US"/>
        </w:rPr>
        <w:t xml:space="preserve"> чел</w:t>
      </w:r>
      <w:r w:rsidR="00B971EB">
        <w:rPr>
          <w:rFonts w:eastAsia="Calibri"/>
          <w:sz w:val="28"/>
          <w:szCs w:val="28"/>
          <w:lang w:eastAsia="en-US"/>
        </w:rPr>
        <w:t>овек.</w:t>
      </w:r>
      <w:r w:rsidR="00B971EB" w:rsidRPr="00CE161F">
        <w:rPr>
          <w:rFonts w:eastAsia="Calibri"/>
          <w:sz w:val="28"/>
          <w:szCs w:val="28"/>
          <w:lang w:eastAsia="en-US"/>
        </w:rPr>
        <w:t xml:space="preserve"> </w:t>
      </w:r>
    </w:p>
    <w:p w:rsidR="00B971EB" w:rsidRDefault="00346C0E" w:rsidP="00A44E97">
      <w:pPr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1E62140E" wp14:editId="55A0C72B">
            <wp:extent cx="6296025" cy="21050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71EB" w:rsidRDefault="00B971EB" w:rsidP="00B971EB">
      <w:pPr>
        <w:ind w:firstLine="720"/>
        <w:jc w:val="both"/>
        <w:rPr>
          <w:sz w:val="28"/>
        </w:rPr>
      </w:pPr>
      <w:r w:rsidRPr="0063459E">
        <w:rPr>
          <w:sz w:val="28"/>
        </w:rPr>
        <w:t xml:space="preserve">  </w:t>
      </w:r>
    </w:p>
    <w:p w:rsidR="00B971EB" w:rsidRDefault="00B971EB" w:rsidP="00B971EB">
      <w:pPr>
        <w:ind w:firstLine="720"/>
        <w:jc w:val="both"/>
        <w:rPr>
          <w:sz w:val="28"/>
        </w:rPr>
      </w:pPr>
      <w:r w:rsidRPr="0063459E">
        <w:rPr>
          <w:sz w:val="28"/>
        </w:rPr>
        <w:t>Из них, по итогам рас</w:t>
      </w:r>
      <w:r>
        <w:rPr>
          <w:sz w:val="28"/>
        </w:rPr>
        <w:t xml:space="preserve">следования квалифицированы,  как  </w:t>
      </w:r>
      <w:r w:rsidRPr="0063459E">
        <w:rPr>
          <w:sz w:val="28"/>
        </w:rPr>
        <w:t xml:space="preserve"> произво</w:t>
      </w:r>
      <w:r w:rsidR="00A44E97">
        <w:rPr>
          <w:sz w:val="28"/>
        </w:rPr>
        <w:t>дственные несчастные случаи – 17 случаев, пострадало – 19</w:t>
      </w:r>
      <w:r w:rsidRPr="0063459E">
        <w:rPr>
          <w:sz w:val="28"/>
        </w:rPr>
        <w:t xml:space="preserve"> человек, в том ч</w:t>
      </w:r>
      <w:r w:rsidR="00A44E97">
        <w:rPr>
          <w:sz w:val="28"/>
        </w:rPr>
        <w:t>исле со смертельным исходом – 7</w:t>
      </w:r>
      <w:r w:rsidRPr="0063459E">
        <w:rPr>
          <w:sz w:val="28"/>
        </w:rPr>
        <w:t xml:space="preserve"> чел</w:t>
      </w:r>
      <w:r>
        <w:rPr>
          <w:sz w:val="28"/>
        </w:rPr>
        <w:t>овек.</w:t>
      </w:r>
      <w:r w:rsidRPr="0063459E">
        <w:rPr>
          <w:sz w:val="28"/>
        </w:rPr>
        <w:t xml:space="preserve"> </w:t>
      </w:r>
    </w:p>
    <w:p w:rsidR="00A44E97" w:rsidRDefault="00A44E97" w:rsidP="00B971EB">
      <w:pPr>
        <w:ind w:firstLine="720"/>
        <w:jc w:val="both"/>
        <w:rPr>
          <w:sz w:val="28"/>
        </w:rPr>
      </w:pPr>
    </w:p>
    <w:p w:rsidR="00B971EB" w:rsidRDefault="00A44E97" w:rsidP="00A44E97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128040C0">
            <wp:extent cx="6419850" cy="25812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26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1EB" w:rsidRDefault="00B971EB" w:rsidP="00B971EB">
      <w:pPr>
        <w:jc w:val="both"/>
        <w:rPr>
          <w:sz w:val="28"/>
        </w:rPr>
      </w:pPr>
    </w:p>
    <w:p w:rsidR="00B971EB" w:rsidRDefault="00B971EB" w:rsidP="00B971EB">
      <w:pPr>
        <w:ind w:firstLine="720"/>
        <w:jc w:val="both"/>
        <w:rPr>
          <w:sz w:val="28"/>
        </w:rPr>
      </w:pPr>
      <w:r w:rsidRPr="00B000DE">
        <w:rPr>
          <w:sz w:val="28"/>
        </w:rPr>
        <w:t xml:space="preserve">По сравнению с аналогичным периодом прошлого </w:t>
      </w:r>
      <w:r w:rsidR="00726599">
        <w:rPr>
          <w:sz w:val="28"/>
        </w:rPr>
        <w:t>года наблюдается уменьшение на 32</w:t>
      </w:r>
      <w:r w:rsidRPr="00B000DE">
        <w:rPr>
          <w:sz w:val="28"/>
        </w:rPr>
        <w:t xml:space="preserve"> % общего количества зарегистрированных несчастных случаев на производстве</w:t>
      </w:r>
      <w:r>
        <w:rPr>
          <w:sz w:val="28"/>
        </w:rPr>
        <w:t>; количество работников,</w:t>
      </w:r>
      <w:r w:rsidRPr="00B000DE">
        <w:rPr>
          <w:sz w:val="28"/>
        </w:rPr>
        <w:t xml:space="preserve"> пострадавших  в данных  несчастных  случаях</w:t>
      </w:r>
      <w:r w:rsidR="00274AD2">
        <w:rPr>
          <w:sz w:val="28"/>
        </w:rPr>
        <w:t xml:space="preserve"> уменьшилось на 36</w:t>
      </w:r>
      <w:r>
        <w:rPr>
          <w:sz w:val="28"/>
        </w:rPr>
        <w:t>,</w:t>
      </w:r>
      <w:r w:rsidR="00274AD2">
        <w:rPr>
          <w:sz w:val="28"/>
        </w:rPr>
        <w:t>6</w:t>
      </w:r>
      <w:r>
        <w:rPr>
          <w:sz w:val="28"/>
        </w:rPr>
        <w:t xml:space="preserve">%;  количество работников со смертельным исходом </w:t>
      </w:r>
      <w:r w:rsidR="00274AD2">
        <w:rPr>
          <w:sz w:val="28"/>
        </w:rPr>
        <w:t>уменьшилось на 41,6 %</w:t>
      </w:r>
      <w:r>
        <w:rPr>
          <w:sz w:val="28"/>
        </w:rPr>
        <w:t>.</w:t>
      </w:r>
    </w:p>
    <w:p w:rsidR="00B971EB" w:rsidRDefault="00B971EB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0DE">
        <w:rPr>
          <w:rFonts w:eastAsia="Calibri"/>
          <w:sz w:val="28"/>
          <w:szCs w:val="28"/>
          <w:lang w:eastAsia="en-US"/>
        </w:rPr>
        <w:t xml:space="preserve">За </w:t>
      </w:r>
      <w:r w:rsidR="00274AD2">
        <w:rPr>
          <w:rFonts w:eastAsia="Calibri"/>
          <w:sz w:val="28"/>
          <w:szCs w:val="28"/>
          <w:lang w:eastAsia="en-US"/>
        </w:rPr>
        <w:t>первое полугодие</w:t>
      </w:r>
      <w:r w:rsidRPr="00B000DE">
        <w:rPr>
          <w:rFonts w:eastAsia="Calibri"/>
          <w:sz w:val="28"/>
          <w:szCs w:val="28"/>
          <w:lang w:eastAsia="en-US"/>
        </w:rPr>
        <w:t xml:space="preserve"> 2015 года несчастные случаи произошли в организациях нефтегазодобывающей отрасли, строительства, транспорта.</w:t>
      </w:r>
    </w:p>
    <w:p w:rsidR="00B971EB" w:rsidRDefault="00B971EB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71EB" w:rsidRDefault="00B971EB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71EB" w:rsidRDefault="00B971EB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71EB" w:rsidRDefault="00C421CA" w:rsidP="00B971E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7031A96" wp14:editId="6E6271D5">
            <wp:extent cx="6083935" cy="4369708"/>
            <wp:effectExtent l="0" t="0" r="12065" b="1206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971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-267335</wp:posOffset>
                </wp:positionV>
                <wp:extent cx="6111875" cy="276225"/>
                <wp:effectExtent l="10795" t="8890" r="11430" b="1016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1EB" w:rsidRDefault="00B971EB" w:rsidP="00B971EB">
                            <w:pPr>
                              <w:jc w:val="center"/>
                            </w:pPr>
                            <w:r>
                              <w:t xml:space="preserve">Анализ травматизма по видам происшествий </w:t>
                            </w:r>
                            <w:r w:rsidR="00274AD2">
                              <w:t xml:space="preserve">1 полугодие </w:t>
                            </w:r>
                            <w:r>
                              <w:t xml:space="preserve"> 2014 – 2015 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5.2pt;margin-top:-21.05pt;width:481.2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">
                <v:textbox style="mso-fit-shape-to-text:t">
                  <w:txbxContent>
                    <w:p w:rsidR="00B971EB" w:rsidRDefault="00B971EB" w:rsidP="00B971EB">
                      <w:pPr>
                        <w:jc w:val="center"/>
                      </w:pPr>
                      <w:r>
                        <w:t xml:space="preserve">Анализ травматизма по видам происшествий </w:t>
                      </w:r>
                      <w:r w:rsidR="00274AD2">
                        <w:t xml:space="preserve">1 полугодие </w:t>
                      </w:r>
                      <w:r>
                        <w:t xml:space="preserve"> 2014 – 2015 годы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B971EB" w:rsidRDefault="00B971EB" w:rsidP="00B971EB">
      <w:pPr>
        <w:jc w:val="center"/>
        <w:rPr>
          <w:noProof/>
        </w:rPr>
      </w:pPr>
    </w:p>
    <w:p w:rsidR="00B971EB" w:rsidRDefault="00B971EB" w:rsidP="00B971EB">
      <w:pPr>
        <w:jc w:val="center"/>
        <w:rPr>
          <w:noProof/>
        </w:rPr>
      </w:pPr>
    </w:p>
    <w:p w:rsidR="00B971EB" w:rsidRDefault="00B971EB" w:rsidP="00B971E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125730</wp:posOffset>
                </wp:positionV>
                <wp:extent cx="6120130" cy="451485"/>
                <wp:effectExtent l="12700" t="8255" r="10795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1EB" w:rsidRDefault="00B971EB" w:rsidP="00B971EB">
                            <w:pPr>
                              <w:jc w:val="center"/>
                            </w:pPr>
                            <w:r>
                              <w:t>Анализ травматизма по причинам несчастных случаев на производстве</w:t>
                            </w:r>
                          </w:p>
                          <w:p w:rsidR="00B971EB" w:rsidRDefault="00C421CA" w:rsidP="00B971EB">
                            <w:pPr>
                              <w:jc w:val="center"/>
                            </w:pPr>
                            <w:r>
                              <w:t>1 полугодие</w:t>
                            </w:r>
                            <w:r w:rsidR="00B971EB">
                              <w:t xml:space="preserve"> 2014 – 2015 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4.9pt;margin-top:9.9pt;width:481.9pt;height:35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">
                <v:textbox style="mso-fit-shape-to-text:t">
                  <w:txbxContent>
                    <w:p w:rsidR="00B971EB" w:rsidRDefault="00B971EB" w:rsidP="00B971EB">
                      <w:pPr>
                        <w:jc w:val="center"/>
                      </w:pPr>
                      <w:r>
                        <w:t>Анализ травматизма по причинам несчастных случаев на производстве</w:t>
                      </w:r>
                    </w:p>
                    <w:p w:rsidR="00B971EB" w:rsidRDefault="00C421CA" w:rsidP="00B971EB">
                      <w:pPr>
                        <w:jc w:val="center"/>
                      </w:pPr>
                      <w:r>
                        <w:t>1 полугодие</w:t>
                      </w:r>
                      <w:r w:rsidR="00B971EB">
                        <w:t xml:space="preserve"> 2014 – 2015 годы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B971EB" w:rsidRDefault="00B971EB" w:rsidP="00B971EB">
      <w:pPr>
        <w:jc w:val="center"/>
        <w:rPr>
          <w:noProof/>
        </w:rPr>
      </w:pPr>
    </w:p>
    <w:p w:rsidR="00B971EB" w:rsidRDefault="00B971EB" w:rsidP="00B971EB">
      <w:pPr>
        <w:jc w:val="center"/>
        <w:rPr>
          <w:rFonts w:eastAsia="Calibri"/>
          <w:sz w:val="28"/>
          <w:szCs w:val="28"/>
          <w:lang w:eastAsia="en-US"/>
        </w:rPr>
      </w:pPr>
    </w:p>
    <w:p w:rsidR="00B971EB" w:rsidRDefault="006A5972" w:rsidP="00B971EB">
      <w:pPr>
        <w:ind w:left="-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1131B8CE" wp14:editId="59EFA032">
            <wp:extent cx="6086475" cy="4191000"/>
            <wp:effectExtent l="38100" t="3810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1EB" w:rsidRDefault="00B971EB" w:rsidP="006A5972">
      <w:pPr>
        <w:jc w:val="both"/>
        <w:rPr>
          <w:rFonts w:eastAsia="Calibri"/>
          <w:sz w:val="28"/>
          <w:szCs w:val="28"/>
          <w:lang w:eastAsia="en-US"/>
        </w:rPr>
      </w:pPr>
    </w:p>
    <w:p w:rsidR="00B971EB" w:rsidRDefault="00B971EB" w:rsidP="00B971E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0DE">
        <w:rPr>
          <w:rFonts w:eastAsia="Calibri"/>
          <w:sz w:val="28"/>
          <w:szCs w:val="28"/>
          <w:lang w:eastAsia="en-US"/>
        </w:rPr>
        <w:t>Согласно материалам расследования</w:t>
      </w:r>
      <w:r w:rsidR="00254A1C">
        <w:rPr>
          <w:rFonts w:eastAsia="Calibri"/>
          <w:sz w:val="28"/>
          <w:szCs w:val="28"/>
          <w:lang w:eastAsia="en-US"/>
        </w:rPr>
        <w:t xml:space="preserve"> в 2015 году</w:t>
      </w:r>
      <w:r w:rsidRPr="00B000DE">
        <w:rPr>
          <w:rFonts w:eastAsia="Calibri"/>
          <w:sz w:val="28"/>
          <w:szCs w:val="28"/>
          <w:lang w:eastAsia="en-US"/>
        </w:rPr>
        <w:t xml:space="preserve">, по решению комиссии, </w:t>
      </w:r>
      <w:r w:rsidR="006A5972">
        <w:rPr>
          <w:rFonts w:eastAsia="Calibri"/>
          <w:sz w:val="28"/>
          <w:szCs w:val="28"/>
          <w:lang w:eastAsia="en-US"/>
        </w:rPr>
        <w:t>16</w:t>
      </w:r>
      <w:r w:rsidRPr="00B000DE">
        <w:rPr>
          <w:rFonts w:eastAsia="Calibri"/>
          <w:sz w:val="28"/>
          <w:szCs w:val="28"/>
          <w:lang w:eastAsia="en-US"/>
        </w:rPr>
        <w:t xml:space="preserve"> из зарегистрированных случаев призн</w:t>
      </w:r>
      <w:r>
        <w:rPr>
          <w:rFonts w:eastAsia="Calibri"/>
          <w:sz w:val="28"/>
          <w:szCs w:val="28"/>
          <w:lang w:eastAsia="en-US"/>
        </w:rPr>
        <w:t>аны несвязанными с производством</w:t>
      </w:r>
      <w:r w:rsidRPr="00ED2013">
        <w:rPr>
          <w:sz w:val="28"/>
        </w:rPr>
        <w:t xml:space="preserve"> </w:t>
      </w:r>
      <w:r>
        <w:rPr>
          <w:sz w:val="28"/>
        </w:rPr>
        <w:t>(</w:t>
      </w:r>
      <w:r w:rsidR="006A5972">
        <w:rPr>
          <w:sz w:val="28"/>
        </w:rPr>
        <w:t>12</w:t>
      </w:r>
      <w:r>
        <w:rPr>
          <w:sz w:val="28"/>
        </w:rPr>
        <w:t xml:space="preserve"> – общее заболевание, </w:t>
      </w:r>
      <w:r w:rsidRPr="009A3EB0">
        <w:rPr>
          <w:sz w:val="28"/>
        </w:rPr>
        <w:t xml:space="preserve"> </w:t>
      </w:r>
      <w:r w:rsidR="006A5972">
        <w:rPr>
          <w:sz w:val="28"/>
        </w:rPr>
        <w:t>4</w:t>
      </w:r>
      <w:r>
        <w:rPr>
          <w:sz w:val="28"/>
        </w:rPr>
        <w:t xml:space="preserve"> -</w:t>
      </w:r>
      <w:r w:rsidRPr="009A3EB0">
        <w:rPr>
          <w:sz w:val="28"/>
        </w:rPr>
        <w:t xml:space="preserve"> прочее)</w:t>
      </w:r>
      <w:r>
        <w:rPr>
          <w:rFonts w:eastAsia="Calibri"/>
          <w:sz w:val="28"/>
          <w:szCs w:val="28"/>
          <w:lang w:eastAsia="en-US"/>
        </w:rPr>
        <w:t xml:space="preserve">, пострадало  </w:t>
      </w:r>
      <w:r w:rsidR="000D6689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 xml:space="preserve"> человек, </w:t>
      </w:r>
      <w:r w:rsidRPr="0063459E">
        <w:rPr>
          <w:sz w:val="28"/>
        </w:rPr>
        <w:t xml:space="preserve"> в т</w:t>
      </w:r>
      <w:r>
        <w:rPr>
          <w:sz w:val="28"/>
        </w:rPr>
        <w:t xml:space="preserve">ом числе со смертельным исходом – </w:t>
      </w:r>
      <w:r w:rsidR="000D6689">
        <w:rPr>
          <w:sz w:val="28"/>
        </w:rPr>
        <w:t>14</w:t>
      </w:r>
      <w:r w:rsidRPr="0063459E">
        <w:rPr>
          <w:sz w:val="28"/>
        </w:rPr>
        <w:t xml:space="preserve"> чел</w:t>
      </w:r>
      <w:r w:rsidR="000D6689">
        <w:rPr>
          <w:sz w:val="28"/>
        </w:rPr>
        <w:t>овек.</w:t>
      </w:r>
    </w:p>
    <w:p w:rsidR="00B971EB" w:rsidRPr="0063459E" w:rsidRDefault="00B971EB" w:rsidP="00B971EB">
      <w:pPr>
        <w:ind w:firstLine="708"/>
        <w:jc w:val="both"/>
        <w:rPr>
          <w:sz w:val="28"/>
        </w:rPr>
      </w:pPr>
      <w:r w:rsidRPr="0063459E">
        <w:rPr>
          <w:sz w:val="28"/>
        </w:rPr>
        <w:t xml:space="preserve">Несчастные случаи на производстве, квалифицированные комиссией по итогам расследования как не связанные с производством, </w:t>
      </w:r>
      <w:r w:rsidR="00766FC0">
        <w:rPr>
          <w:sz w:val="28"/>
        </w:rPr>
        <w:t>чаще</w:t>
      </w:r>
      <w:r w:rsidRPr="0063459E">
        <w:rPr>
          <w:sz w:val="28"/>
        </w:rPr>
        <w:t xml:space="preserve"> происходят по причине общих заболеваний.  Наиболее </w:t>
      </w:r>
      <w:r w:rsidR="000D6689" w:rsidRPr="0063459E">
        <w:rPr>
          <w:sz w:val="28"/>
        </w:rPr>
        <w:t>распространённой</w:t>
      </w:r>
      <w:r w:rsidRPr="0063459E">
        <w:rPr>
          <w:sz w:val="28"/>
        </w:rPr>
        <w:t xml:space="preserve"> является смерть от заболеваний сердечно - сосудистой системы. </w:t>
      </w:r>
    </w:p>
    <w:p w:rsidR="00411303" w:rsidRDefault="00411303"/>
    <w:sectPr w:rsidR="00411303" w:rsidSect="007A017B">
      <w:pgSz w:w="11906" w:h="16838"/>
      <w:pgMar w:top="510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EB"/>
    <w:rsid w:val="00010AA2"/>
    <w:rsid w:val="00011431"/>
    <w:rsid w:val="00027A0A"/>
    <w:rsid w:val="0003721A"/>
    <w:rsid w:val="00091EC0"/>
    <w:rsid w:val="000A5D4E"/>
    <w:rsid w:val="000B1D39"/>
    <w:rsid w:val="000D60BE"/>
    <w:rsid w:val="000D6689"/>
    <w:rsid w:val="000E66C0"/>
    <w:rsid w:val="000F513A"/>
    <w:rsid w:val="001102D0"/>
    <w:rsid w:val="00112EAA"/>
    <w:rsid w:val="001237DF"/>
    <w:rsid w:val="00172F9B"/>
    <w:rsid w:val="001872A6"/>
    <w:rsid w:val="001916E7"/>
    <w:rsid w:val="00191DE7"/>
    <w:rsid w:val="001944B3"/>
    <w:rsid w:val="001A0E23"/>
    <w:rsid w:val="001A1F4D"/>
    <w:rsid w:val="001B09E6"/>
    <w:rsid w:val="00254A1C"/>
    <w:rsid w:val="00274AD2"/>
    <w:rsid w:val="00293DF2"/>
    <w:rsid w:val="002C21A0"/>
    <w:rsid w:val="002D0A53"/>
    <w:rsid w:val="002D79A4"/>
    <w:rsid w:val="002E0CED"/>
    <w:rsid w:val="002E773E"/>
    <w:rsid w:val="00307E16"/>
    <w:rsid w:val="00311C2E"/>
    <w:rsid w:val="00324F35"/>
    <w:rsid w:val="00327C14"/>
    <w:rsid w:val="00331C85"/>
    <w:rsid w:val="00346C0E"/>
    <w:rsid w:val="00357F12"/>
    <w:rsid w:val="003818AE"/>
    <w:rsid w:val="003F4026"/>
    <w:rsid w:val="004043F1"/>
    <w:rsid w:val="00411303"/>
    <w:rsid w:val="00451949"/>
    <w:rsid w:val="004858F4"/>
    <w:rsid w:val="00491E57"/>
    <w:rsid w:val="004C48E1"/>
    <w:rsid w:val="004E1C7F"/>
    <w:rsid w:val="004E515C"/>
    <w:rsid w:val="004F33DA"/>
    <w:rsid w:val="00501864"/>
    <w:rsid w:val="00502E57"/>
    <w:rsid w:val="00506CE0"/>
    <w:rsid w:val="005135EA"/>
    <w:rsid w:val="0052579F"/>
    <w:rsid w:val="00530167"/>
    <w:rsid w:val="005321E1"/>
    <w:rsid w:val="00533D43"/>
    <w:rsid w:val="0053549A"/>
    <w:rsid w:val="00545E66"/>
    <w:rsid w:val="00552069"/>
    <w:rsid w:val="005619F5"/>
    <w:rsid w:val="005757BF"/>
    <w:rsid w:val="005770AA"/>
    <w:rsid w:val="00584D18"/>
    <w:rsid w:val="005913DB"/>
    <w:rsid w:val="005D687F"/>
    <w:rsid w:val="005D7486"/>
    <w:rsid w:val="005D76D2"/>
    <w:rsid w:val="00606E42"/>
    <w:rsid w:val="00607E5A"/>
    <w:rsid w:val="00612281"/>
    <w:rsid w:val="00655A81"/>
    <w:rsid w:val="0068634C"/>
    <w:rsid w:val="006A22E5"/>
    <w:rsid w:val="006A5650"/>
    <w:rsid w:val="006A5972"/>
    <w:rsid w:val="007013D3"/>
    <w:rsid w:val="00717AEC"/>
    <w:rsid w:val="00726599"/>
    <w:rsid w:val="0073065E"/>
    <w:rsid w:val="0074685F"/>
    <w:rsid w:val="00754F90"/>
    <w:rsid w:val="00757729"/>
    <w:rsid w:val="00766FC0"/>
    <w:rsid w:val="007A017B"/>
    <w:rsid w:val="007B3D94"/>
    <w:rsid w:val="007C5070"/>
    <w:rsid w:val="007D3323"/>
    <w:rsid w:val="007F0C1B"/>
    <w:rsid w:val="008160AE"/>
    <w:rsid w:val="008219FF"/>
    <w:rsid w:val="0082378F"/>
    <w:rsid w:val="00841E98"/>
    <w:rsid w:val="008568DD"/>
    <w:rsid w:val="008600FE"/>
    <w:rsid w:val="008627AC"/>
    <w:rsid w:val="008C49F0"/>
    <w:rsid w:val="008D67CB"/>
    <w:rsid w:val="008D682D"/>
    <w:rsid w:val="008D6937"/>
    <w:rsid w:val="00903720"/>
    <w:rsid w:val="0092235E"/>
    <w:rsid w:val="00931CB9"/>
    <w:rsid w:val="00942BD0"/>
    <w:rsid w:val="009476D7"/>
    <w:rsid w:val="00956C0E"/>
    <w:rsid w:val="009915B0"/>
    <w:rsid w:val="00992C57"/>
    <w:rsid w:val="00A21C01"/>
    <w:rsid w:val="00A33697"/>
    <w:rsid w:val="00A44E97"/>
    <w:rsid w:val="00A75AF2"/>
    <w:rsid w:val="00AA7DCF"/>
    <w:rsid w:val="00AC19BE"/>
    <w:rsid w:val="00AE41A4"/>
    <w:rsid w:val="00B13B30"/>
    <w:rsid w:val="00B3453F"/>
    <w:rsid w:val="00B42611"/>
    <w:rsid w:val="00B42673"/>
    <w:rsid w:val="00B54F56"/>
    <w:rsid w:val="00B85515"/>
    <w:rsid w:val="00B971EB"/>
    <w:rsid w:val="00BB427C"/>
    <w:rsid w:val="00BB45A3"/>
    <w:rsid w:val="00BF3AC4"/>
    <w:rsid w:val="00C11BFF"/>
    <w:rsid w:val="00C23E7E"/>
    <w:rsid w:val="00C421CA"/>
    <w:rsid w:val="00C75EF5"/>
    <w:rsid w:val="00CA2ADA"/>
    <w:rsid w:val="00CC3330"/>
    <w:rsid w:val="00CD4C6F"/>
    <w:rsid w:val="00CE289F"/>
    <w:rsid w:val="00CE450B"/>
    <w:rsid w:val="00D46473"/>
    <w:rsid w:val="00D47A4C"/>
    <w:rsid w:val="00D61C65"/>
    <w:rsid w:val="00D705C3"/>
    <w:rsid w:val="00D912BB"/>
    <w:rsid w:val="00DA5DD0"/>
    <w:rsid w:val="00DD7230"/>
    <w:rsid w:val="00DE150B"/>
    <w:rsid w:val="00DE5D44"/>
    <w:rsid w:val="00E101EB"/>
    <w:rsid w:val="00E2259A"/>
    <w:rsid w:val="00E25E7F"/>
    <w:rsid w:val="00E36C9E"/>
    <w:rsid w:val="00E447C1"/>
    <w:rsid w:val="00E80F7E"/>
    <w:rsid w:val="00E81CD2"/>
    <w:rsid w:val="00EA627D"/>
    <w:rsid w:val="00EC0739"/>
    <w:rsid w:val="00EC16B0"/>
    <w:rsid w:val="00EC43D5"/>
    <w:rsid w:val="00EC6D2A"/>
    <w:rsid w:val="00F15561"/>
    <w:rsid w:val="00F30C80"/>
    <w:rsid w:val="00F338CC"/>
    <w:rsid w:val="00F84D36"/>
    <w:rsid w:val="00F87D7C"/>
    <w:rsid w:val="00FB004A"/>
    <w:rsid w:val="00FB4EDE"/>
    <w:rsid w:val="00FC0C4B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E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E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753571393981662E-2"/>
          <c:y val="6.2461432827225709E-2"/>
          <c:w val="0.83141373933424378"/>
          <c:h val="0.535815146394371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'Нс 1 пол 2014-2015 (2)'!$B$2</c:f>
              <c:strCache>
                <c:ptCount val="1"/>
                <c:pt idx="0">
                  <c:v>   2014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'Нс 1 пол 2014-2015 (2)'!$A$3:$A$5</c:f>
              <c:strCache>
                <c:ptCount val="3"/>
                <c:pt idx="0">
                  <c:v>Количество несчастных случаев</c:v>
                </c:pt>
                <c:pt idx="1">
                  <c:v>Количество пострадавших (чел.)</c:v>
                </c:pt>
                <c:pt idx="2">
                  <c:v>Количество пострадавших со смертельным исходом  (чел.)</c:v>
                </c:pt>
              </c:strCache>
            </c:strRef>
          </c:cat>
          <c:val>
            <c:numRef>
              <c:f>'Нс 1 пол 2014-2015 (2)'!$B$3:$B$5</c:f>
              <c:numCache>
                <c:formatCode>General</c:formatCode>
                <c:ptCount val="3"/>
                <c:pt idx="0">
                  <c:v>43</c:v>
                </c:pt>
                <c:pt idx="1">
                  <c:v>48</c:v>
                </c:pt>
                <c:pt idx="2">
                  <c:v>28</c:v>
                </c:pt>
              </c:numCache>
            </c:numRef>
          </c:val>
        </c:ser>
        <c:ser>
          <c:idx val="1"/>
          <c:order val="1"/>
          <c:tx>
            <c:strRef>
              <c:f>'Нс 1 пол 2014-2015 (2)'!$C$2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'Нс 1 пол 2014-2015 (2)'!$A$3:$A$5</c:f>
              <c:strCache>
                <c:ptCount val="3"/>
                <c:pt idx="0">
                  <c:v>Количество несчастных случаев</c:v>
                </c:pt>
                <c:pt idx="1">
                  <c:v>Количество пострадавших (чел.)</c:v>
                </c:pt>
                <c:pt idx="2">
                  <c:v>Количество пострадавших со смертельным исходом  (чел.)</c:v>
                </c:pt>
              </c:strCache>
            </c:strRef>
          </c:cat>
          <c:val>
            <c:numRef>
              <c:f>'Нс 1 пол 2014-2015 (2)'!$C$3:$C$5</c:f>
              <c:numCache>
                <c:formatCode>General</c:formatCode>
                <c:ptCount val="3"/>
                <c:pt idx="0">
                  <c:v>33</c:v>
                </c:pt>
                <c:pt idx="1">
                  <c:v>36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616832"/>
        <c:axId val="160618368"/>
        <c:axId val="0"/>
      </c:bar3DChart>
      <c:catAx>
        <c:axId val="160616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60618368"/>
        <c:crosses val="autoZero"/>
        <c:auto val="1"/>
        <c:lblAlgn val="ctr"/>
        <c:lblOffset val="100"/>
        <c:noMultiLvlLbl val="0"/>
      </c:catAx>
      <c:valAx>
        <c:axId val="1606183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061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13505130040565"/>
          <c:y val="0.23979574335386292"/>
          <c:w val="0.14911313207620266"/>
          <c:h val="0.203464566929133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7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'диаграмма, вид 1 пол 2015 (2)'!$C$4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'диаграмма, вид 1 пол 2015 (2)'!$B$5:$B$11</c:f>
              <c:strCache>
                <c:ptCount val="7"/>
                <c:pt idx="0">
                  <c:v>Всего:</c:v>
                </c:pt>
                <c:pt idx="1">
                  <c:v>ДТП</c:v>
                </c:pt>
                <c:pt idx="2">
                  <c:v>Падение с  высоты        </c:v>
                </c:pt>
                <c:pt idx="3">
                  <c:v>Падение, обрушение предметов, земли</c:v>
                </c:pt>
                <c:pt idx="4">
                  <c:v>Воздействие движущихся,вращающихся предметов, деталей</c:v>
                </c:pt>
                <c:pt idx="5">
                  <c:v>Воздействие электрического тока</c:v>
                </c:pt>
                <c:pt idx="6">
                  <c:v>Прочие</c:v>
                </c:pt>
              </c:strCache>
            </c:strRef>
          </c:cat>
          <c:val>
            <c:numRef>
              <c:f>'диаграмма, вид 1 пол 2015 (2)'!$C$5:$C$11</c:f>
              <c:numCache>
                <c:formatCode>0;[Red]0</c:formatCode>
                <c:ptCount val="7"/>
                <c:pt idx="0">
                  <c:v>25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'диаграмма, вид 1 пол 2015 (2)'!$D$4</c:f>
              <c:strCache>
                <c:ptCount val="1"/>
                <c:pt idx="0">
                  <c:v>2015 год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845699426230069E-2"/>
                  <c:y val="-1.1129660545353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5806828909837059E-2"/>
                  <c:y val="-1.7807456872565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268549139345102E-2"/>
                  <c:y val="-4.45186421814134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2037689024591115E-2"/>
                  <c:y val="-8.90372843628269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'диаграмма, вид 1 пол 2015 (2)'!$B$5:$B$11</c:f>
              <c:strCache>
                <c:ptCount val="7"/>
                <c:pt idx="0">
                  <c:v>Всего:</c:v>
                </c:pt>
                <c:pt idx="1">
                  <c:v>ДТП</c:v>
                </c:pt>
                <c:pt idx="2">
                  <c:v>Падение с  высоты        </c:v>
                </c:pt>
                <c:pt idx="3">
                  <c:v>Падение, обрушение предметов, земли</c:v>
                </c:pt>
                <c:pt idx="4">
                  <c:v>Воздействие движущихся,вращающихся предметов, деталей</c:v>
                </c:pt>
                <c:pt idx="5">
                  <c:v>Воздействие электрического тока</c:v>
                </c:pt>
                <c:pt idx="6">
                  <c:v>Прочие</c:v>
                </c:pt>
              </c:strCache>
            </c:strRef>
          </c:cat>
          <c:val>
            <c:numRef>
              <c:f>'диаграмма, вид 1 пол 2015 (2)'!$D$5:$D$11</c:f>
              <c:numCache>
                <c:formatCode>0;[Red]0</c:formatCode>
                <c:ptCount val="7"/>
                <c:pt idx="0">
                  <c:v>17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279424"/>
        <c:axId val="162280960"/>
        <c:axId val="0"/>
      </c:bar3DChart>
      <c:catAx>
        <c:axId val="162279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2280960"/>
        <c:crosses val="autoZero"/>
        <c:auto val="1"/>
        <c:lblAlgn val="ctr"/>
        <c:lblOffset val="100"/>
        <c:noMultiLvlLbl val="0"/>
      </c:catAx>
      <c:valAx>
        <c:axId val="162280960"/>
        <c:scaling>
          <c:orientation val="minMax"/>
        </c:scaling>
        <c:delete val="0"/>
        <c:axPos val="l"/>
        <c:majorGridlines/>
        <c:numFmt formatCode="0;[Red]0" sourceLinked="1"/>
        <c:majorTickMark val="out"/>
        <c:minorTickMark val="none"/>
        <c:tickLblPos val="nextTo"/>
        <c:crossAx val="162279424"/>
        <c:crosses val="autoZero"/>
        <c:crossBetween val="between"/>
      </c:valAx>
    </c:plotArea>
    <c:legend>
      <c:legendPos val="tr"/>
      <c:layout>
        <c:manualLayout>
          <c:xMode val="edge"/>
          <c:yMode val="edge"/>
          <c:x val="0.67231363772364006"/>
          <c:y val="1.6563146997929608E-2"/>
          <c:w val="0.31573714738055014"/>
          <c:h val="9.9836650853425926E-2"/>
        </c:manualLayout>
      </c:layout>
      <c:overlay val="1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80"/>
      <c:rotY val="8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02961838570421E-4"/>
          <c:y val="2.3722114990826666E-2"/>
          <c:w val="0.95993008225106902"/>
          <c:h val="0.568364146800290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'диаграмма Причины 1 по 2015'!$C$2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2651199348744509E-2"/>
                  <c:y val="1.172184394825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Причины 1 по 2015'!$B$3:$B$10</c:f>
              <c:strCache>
                <c:ptCount val="8"/>
                <c:pt idx="0">
                  <c:v>Всего:</c:v>
                </c:pt>
                <c:pt idx="1">
                  <c:v>Несовершенство техн. процесса, оборуд.    </c:v>
                </c:pt>
                <c:pt idx="2">
                  <c:v>Наруш. технологии, экспл. неисправ.машин   </c:v>
                </c:pt>
                <c:pt idx="3">
                  <c:v>Нарушение требований ПДД </c:v>
                </c:pt>
                <c:pt idx="4">
                  <c:v>Неудов. организация производства работ</c:v>
                </c:pt>
                <c:pt idx="5">
                  <c:v>Нарушение работником трудового распорядка, неприменение СИЗ</c:v>
                </c:pt>
                <c:pt idx="6">
                  <c:v>Использование пострад. не по специальности  </c:v>
                </c:pt>
                <c:pt idx="7">
                  <c:v>Прочие</c:v>
                </c:pt>
              </c:strCache>
            </c:strRef>
          </c:cat>
          <c:val>
            <c:numRef>
              <c:f>'диаграмма Причины 1 по 2015'!$C$3:$C$10</c:f>
              <c:numCache>
                <c:formatCode>0</c:formatCode>
                <c:ptCount val="8"/>
                <c:pt idx="0" formatCode="General">
                  <c:v>25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'диаграмма Причины 1 по 2015'!$D$2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708840476235948E-2"/>
                  <c:y val="1.1266040413650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1582342026170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998006933625275E-2"/>
                  <c:y val="-8.2708018985549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964360587002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0845509284601456E-2"/>
                  <c:y val="-2.7272919387492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455250931375363E-2"/>
                  <c:y val="-4.7003519465625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973924959514183E-2"/>
                  <c:y val="-1.77823813537408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5498056058500711E-2"/>
                  <c:y val="-4.8743665495919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Причины 1 по 2015'!$B$3:$B$10</c:f>
              <c:strCache>
                <c:ptCount val="8"/>
                <c:pt idx="0">
                  <c:v>Всего:</c:v>
                </c:pt>
                <c:pt idx="1">
                  <c:v>Несовершенство техн. процесса, оборуд.    </c:v>
                </c:pt>
                <c:pt idx="2">
                  <c:v>Наруш. технологии, экспл. неисправ.машин   </c:v>
                </c:pt>
                <c:pt idx="3">
                  <c:v>Нарушение требований ПДД </c:v>
                </c:pt>
                <c:pt idx="4">
                  <c:v>Неудов. организация производства работ</c:v>
                </c:pt>
                <c:pt idx="5">
                  <c:v>Нарушение работником трудового распорядка, неприменение СИЗ</c:v>
                </c:pt>
                <c:pt idx="6">
                  <c:v>Использование пострад. не по специальности  </c:v>
                </c:pt>
                <c:pt idx="7">
                  <c:v>Прочие</c:v>
                </c:pt>
              </c:strCache>
            </c:strRef>
          </c:cat>
          <c:val>
            <c:numRef>
              <c:f>'диаграмма Причины 1 по 2015'!$D$3:$D$10</c:f>
              <c:numCache>
                <c:formatCode>0</c:formatCode>
                <c:ptCount val="8"/>
                <c:pt idx="0">
                  <c:v>17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4</c:v>
                </c:pt>
                <c:pt idx="5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2512896"/>
        <c:axId val="162514432"/>
        <c:axId val="0"/>
      </c:bar3DChart>
      <c:catAx>
        <c:axId val="162512896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minorGridlines>
          <c:spPr>
            <a:ln>
              <a:noFill/>
            </a:ln>
          </c:spPr>
        </c:minorGridlines>
        <c:majorTickMark val="out"/>
        <c:minorTickMark val="none"/>
        <c:tickLblPos val="nextTo"/>
        <c:crossAx val="162514432"/>
        <c:crosses val="autoZero"/>
        <c:auto val="0"/>
        <c:lblAlgn val="ctr"/>
        <c:lblOffset val="100"/>
        <c:noMultiLvlLbl val="0"/>
      </c:catAx>
      <c:valAx>
        <c:axId val="16251443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62512896"/>
        <c:crosses val="max"/>
        <c:crossBetween val="between"/>
      </c:valAx>
      <c:spPr>
        <a:noFill/>
      </c:spPr>
    </c:plotArea>
    <c:legend>
      <c:legendPos val="tr"/>
      <c:layout>
        <c:manualLayout>
          <c:xMode val="edge"/>
          <c:yMode val="edge"/>
          <c:x val="0.44254741966777961"/>
          <c:y val="3.5803834656904517E-2"/>
          <c:w val="0.29990036959665756"/>
          <c:h val="6.6064741981520334E-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effectLst>
      <a:glow>
        <a:schemeClr val="accent1">
          <a:alpha val="69000"/>
        </a:schemeClr>
      </a:glow>
      <a:softEdge rad="0"/>
    </a:effectLst>
    <a:scene3d>
      <a:camera prst="orthographicFront"/>
      <a:lightRig rig="threePt" dir="t"/>
    </a:scene3d>
    <a:sp3d>
      <a:bevelT prst="relaxedInset"/>
    </a:sp3d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0.13242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57626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ctr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Несчастные случаи в городе Сургуте   за 1 полугодие  2014-2015 годы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2015-11-13T04:38:00Z</dcterms:created>
  <dcterms:modified xsi:type="dcterms:W3CDTF">2015-11-18T06:54:00Z</dcterms:modified>
</cp:coreProperties>
</file>