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09" w:rsidRPr="00FA5898" w:rsidRDefault="00123709" w:rsidP="00116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>ПРОТОКОЛ</w:t>
      </w:r>
    </w:p>
    <w:p w:rsidR="0013440B" w:rsidRPr="00FA5898" w:rsidRDefault="00123709" w:rsidP="00116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 w:rsidR="0013440B" w:rsidRPr="00FA5898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</w:t>
      </w:r>
      <w:r w:rsidR="0013440B" w:rsidRPr="00FA5898">
        <w:rPr>
          <w:rFonts w:ascii="Times New Roman" w:hAnsi="Times New Roman" w:cs="Times New Roman"/>
          <w:sz w:val="28"/>
          <w:szCs w:val="28"/>
        </w:rPr>
        <w:br/>
        <w:t xml:space="preserve">«О прогнозе социально-экономического развития муниципального образования городской округ Сургут Ханты-Мансийского автономного округа – Югры </w:t>
      </w:r>
    </w:p>
    <w:p w:rsidR="00123709" w:rsidRPr="00FA5898" w:rsidRDefault="0013440B" w:rsidP="00116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>на 2025 год и на плановый период 2026 – 2027 годов»</w:t>
      </w:r>
    </w:p>
    <w:p w:rsidR="00E47C61" w:rsidRPr="00FA5898" w:rsidRDefault="00E47C61" w:rsidP="00116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709" w:rsidRPr="00FA5898" w:rsidRDefault="00C5688F" w:rsidP="00116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23709" w:rsidRPr="00FA5898">
        <w:rPr>
          <w:rFonts w:ascii="Times New Roman" w:hAnsi="Times New Roman" w:cs="Times New Roman"/>
          <w:sz w:val="28"/>
          <w:szCs w:val="28"/>
        </w:rPr>
        <w:t>.</w:t>
      </w:r>
      <w:r w:rsidR="00E47C61" w:rsidRPr="00FA5898">
        <w:rPr>
          <w:rFonts w:ascii="Times New Roman" w:hAnsi="Times New Roman" w:cs="Times New Roman"/>
          <w:sz w:val="28"/>
          <w:szCs w:val="28"/>
        </w:rPr>
        <w:t>10</w:t>
      </w:r>
      <w:r w:rsidR="00123709" w:rsidRPr="00FA5898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                                             № </w:t>
      </w:r>
      <w:r w:rsidR="00FF300A" w:rsidRPr="00FA5898">
        <w:rPr>
          <w:rFonts w:ascii="Times New Roman" w:hAnsi="Times New Roman" w:cs="Times New Roman"/>
          <w:sz w:val="28"/>
          <w:szCs w:val="28"/>
        </w:rPr>
        <w:t>9</w:t>
      </w:r>
    </w:p>
    <w:p w:rsidR="00123709" w:rsidRPr="00FA5898" w:rsidRDefault="00123709" w:rsidP="0011602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7BDD" w:rsidRPr="00FA5898" w:rsidRDefault="00FF300A" w:rsidP="001160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 социально-экономического развития муниципального образования городской округ Сургут </w:t>
      </w:r>
      <w:r w:rsidRPr="00FA589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FA58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5898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на среднесрочный период </w:t>
      </w:r>
      <w:r w:rsidR="00607BDD" w:rsidRPr="00FA5898">
        <w:rPr>
          <w:rFonts w:ascii="Times New Roman" w:eastAsia="Times New Roman" w:hAnsi="Times New Roman" w:cs="Times New Roman"/>
          <w:sz w:val="28"/>
          <w:szCs w:val="28"/>
        </w:rPr>
        <w:t>является документо</w:t>
      </w:r>
      <w:r w:rsidR="006307EC" w:rsidRPr="00FA5898">
        <w:rPr>
          <w:rFonts w:ascii="Times New Roman" w:eastAsia="Times New Roman" w:hAnsi="Times New Roman" w:cs="Times New Roman"/>
          <w:sz w:val="28"/>
          <w:szCs w:val="28"/>
        </w:rPr>
        <w:t>м стратегического планирования</w:t>
      </w:r>
      <w:r w:rsidRPr="00FA58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07EC" w:rsidRPr="00FA5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898">
        <w:rPr>
          <w:rFonts w:ascii="Times New Roman" w:eastAsia="Times New Roman" w:hAnsi="Times New Roman" w:cs="Times New Roman"/>
          <w:sz w:val="28"/>
          <w:szCs w:val="28"/>
        </w:rPr>
        <w:br/>
      </w:r>
      <w:r w:rsidR="00E47C61" w:rsidRPr="00FA589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7C61" w:rsidRPr="00FA5898">
        <w:rPr>
          <w:rFonts w:ascii="Times New Roman" w:hAnsi="Times New Roman" w:cs="Times New Roman"/>
          <w:sz w:val="28"/>
          <w:szCs w:val="28"/>
        </w:rPr>
        <w:t xml:space="preserve"> соответствии со статьей 13 Федерального закона от 28.06.2014 № 172-ФЗ </w:t>
      </w:r>
      <w:r w:rsidRPr="00FA5898">
        <w:rPr>
          <w:rFonts w:ascii="Times New Roman" w:hAnsi="Times New Roman" w:cs="Times New Roman"/>
          <w:sz w:val="28"/>
          <w:szCs w:val="28"/>
        </w:rPr>
        <w:br/>
      </w:r>
      <w:r w:rsidR="00E47C61" w:rsidRPr="00FA5898">
        <w:rPr>
          <w:rFonts w:ascii="Times New Roman" w:hAnsi="Times New Roman" w:cs="Times New Roman"/>
          <w:sz w:val="28"/>
          <w:szCs w:val="28"/>
        </w:rPr>
        <w:t xml:space="preserve">«О стратегическом планировании в Российской Федерации» и на основании постановления Администрации города от 03.10.2019 № 7305 </w:t>
      </w:r>
      <w:r w:rsidR="00607BDD" w:rsidRPr="00FA589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7BDD" w:rsidRPr="00FA5898">
        <w:rPr>
          <w:rFonts w:ascii="Times New Roman" w:hAnsi="Times New Roman" w:cs="Times New Roman"/>
          <w:sz w:val="28"/>
          <w:szCs w:val="28"/>
        </w:rPr>
        <w:t>Об 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Сургут Ханты-Мансийского автономного округа – Югры</w:t>
      </w:r>
      <w:r w:rsidR="00607BDD" w:rsidRPr="00FA5898">
        <w:rPr>
          <w:rFonts w:ascii="Times New Roman" w:eastAsia="Times New Roman" w:hAnsi="Times New Roman" w:cs="Times New Roman"/>
          <w:sz w:val="28"/>
          <w:szCs w:val="28"/>
        </w:rPr>
        <w:t>» подлежит общественному обсуждению.</w:t>
      </w:r>
    </w:p>
    <w:p w:rsidR="00FF300A" w:rsidRPr="00FA5898" w:rsidRDefault="00FF300A" w:rsidP="00116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«О прогнозе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 (далее – проект) сформирован в соответствии с порядком разработки прогноза муниципального образования на среднесрочный период, сценарными условиями функционирования экономики Российской Федерации</w:t>
      </w:r>
      <w:r w:rsidRPr="00FA5898">
        <w:rPr>
          <w:rStyle w:val="a8"/>
          <w:rFonts w:ascii="Times New Roman" w:hAnsi="Times New Roman"/>
          <w:color w:val="auto"/>
          <w:sz w:val="28"/>
          <w:szCs w:val="28"/>
        </w:rPr>
        <w:t xml:space="preserve">, основными параметрами прогноза социально-экономического развития Российской Федерации и прогнозируемыми изменениями цен (тарифов) на товары, услуги хозяйствующих субъектов, осуществляющих регулируемые виды деятельности в инфраструктурном секторе, на 2025 год и на плановый период 2026 и 2027 годов, утвержденными Министерством экономического развития Российской Федерации, </w:t>
      </w:r>
      <w:r w:rsidRPr="00FA5898">
        <w:rPr>
          <w:rFonts w:ascii="Times New Roman" w:hAnsi="Times New Roman" w:cs="Times New Roman"/>
          <w:sz w:val="28"/>
          <w:szCs w:val="28"/>
        </w:rPr>
        <w:t>основными параметрами прогноза социально-экономического развития Ханты-Мансийского автономного округа – Югры на 2025 год и на плановый период 2026 – 2027 годов.</w:t>
      </w:r>
    </w:p>
    <w:p w:rsidR="00221A98" w:rsidRPr="00FA5898" w:rsidRDefault="00221A98" w:rsidP="001160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5898">
        <w:rPr>
          <w:color w:val="auto"/>
          <w:sz w:val="28"/>
          <w:szCs w:val="28"/>
        </w:rPr>
        <w:t xml:space="preserve">Общественное обсуждение проекта организовано отделом социально-экономического прогнозирования Администрации города в период с 02.10.2024 </w:t>
      </w:r>
      <w:r w:rsidRPr="00FA5898">
        <w:rPr>
          <w:color w:val="auto"/>
          <w:sz w:val="28"/>
          <w:szCs w:val="28"/>
        </w:rPr>
        <w:br/>
        <w:t>по 16.10.2024 путем размещения информационного сообщения о проведении общественного обсуждения проекта на официальном портале Администрации города в разделах: «Проекты документов: антикоррупционная экспертиза и общественное обсуждение»; «Новости Сургута» («Важное»); «Новости структурных подразделений» («Экономика»).</w:t>
      </w:r>
    </w:p>
    <w:p w:rsidR="00221A98" w:rsidRPr="00FA5898" w:rsidRDefault="00221A98" w:rsidP="00116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89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A5898">
        <w:rPr>
          <w:rFonts w:ascii="Times New Roman" w:hAnsi="Times New Roman" w:cs="Times New Roman"/>
          <w:sz w:val="28"/>
          <w:szCs w:val="28"/>
        </w:rPr>
        <w:t xml:space="preserve">редложения, замечания и рекомендации </w:t>
      </w:r>
      <w:r w:rsidRPr="00FA5898">
        <w:rPr>
          <w:rFonts w:ascii="Times New Roman" w:eastAsia="Times New Roman" w:hAnsi="Times New Roman" w:cs="Times New Roman"/>
          <w:sz w:val="28"/>
          <w:szCs w:val="28"/>
        </w:rPr>
        <w:t>по проекту принимались:</w:t>
      </w:r>
    </w:p>
    <w:p w:rsidR="00221A98" w:rsidRPr="00FA5898" w:rsidRDefault="00221A98" w:rsidP="001160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- по адресу: 628408, город Сургут, улица Энгельса, 8, кабинет 524; </w:t>
      </w:r>
    </w:p>
    <w:p w:rsidR="00221A98" w:rsidRPr="00FA5898" w:rsidRDefault="00221A98" w:rsidP="001160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- на адрес электронной почты: </w:t>
      </w:r>
      <w:proofErr w:type="spellStart"/>
      <w:r w:rsidRPr="00FA5898">
        <w:rPr>
          <w:rFonts w:ascii="Times New Roman" w:hAnsi="Times New Roman" w:cs="Times New Roman"/>
          <w:sz w:val="28"/>
          <w:szCs w:val="28"/>
          <w:lang w:val="en-US"/>
        </w:rPr>
        <w:t>berger</w:t>
      </w:r>
      <w:proofErr w:type="spellEnd"/>
      <w:r w:rsidRPr="00FA589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A5898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FA589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A5898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Pr="00FA58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589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A5898">
        <w:rPr>
          <w:rFonts w:ascii="Times New Roman" w:hAnsi="Times New Roman" w:cs="Times New Roman"/>
          <w:sz w:val="28"/>
          <w:szCs w:val="28"/>
        </w:rPr>
        <w:t>;</w:t>
      </w:r>
    </w:p>
    <w:p w:rsidR="00221A98" w:rsidRPr="00FA5898" w:rsidRDefault="00221A98" w:rsidP="001160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>- по телефону: 8 (3462) 522104;</w:t>
      </w:r>
    </w:p>
    <w:p w:rsidR="00221A98" w:rsidRPr="00FA5898" w:rsidRDefault="00221A98" w:rsidP="0011602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lastRenderedPageBreak/>
        <w:t>- посредством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 в разделе «Общественные обсуждения и публичные слушания»;</w:t>
      </w:r>
    </w:p>
    <w:p w:rsidR="00221A98" w:rsidRPr="00FA5898" w:rsidRDefault="00221A98" w:rsidP="0011602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>- в разделе «Общественное обсуждение проектов» государственной автоматизированной информационной системы «Управление».</w:t>
      </w:r>
    </w:p>
    <w:p w:rsidR="002C1DAB" w:rsidRPr="00FA5898" w:rsidRDefault="0011602B" w:rsidP="00355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предложений в период </w:t>
      </w:r>
      <w:r w:rsidR="002C1DAB" w:rsidRPr="00FA5898">
        <w:rPr>
          <w:rFonts w:ascii="Times New Roman" w:hAnsi="Times New Roman" w:cs="Times New Roman"/>
          <w:sz w:val="28"/>
          <w:szCs w:val="28"/>
        </w:rPr>
        <w:t xml:space="preserve">с 02.10.2024 </w:t>
      </w:r>
      <w:r w:rsidR="002C1DAB" w:rsidRPr="00FA5898">
        <w:rPr>
          <w:rFonts w:ascii="Times New Roman" w:hAnsi="Times New Roman" w:cs="Times New Roman"/>
          <w:sz w:val="28"/>
          <w:szCs w:val="28"/>
        </w:rPr>
        <w:br/>
        <w:t xml:space="preserve">по 16.10.2024 </w:t>
      </w:r>
      <w:r w:rsidRPr="00FA5898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2C1DAB" w:rsidRPr="00FA5898">
        <w:rPr>
          <w:rFonts w:ascii="Times New Roman" w:hAnsi="Times New Roman" w:cs="Times New Roman"/>
          <w:sz w:val="28"/>
          <w:szCs w:val="28"/>
        </w:rPr>
        <w:t xml:space="preserve">электронного документа составило </w:t>
      </w:r>
      <w:r w:rsidR="00065FF3">
        <w:rPr>
          <w:rFonts w:ascii="Times New Roman" w:hAnsi="Times New Roman" w:cs="Times New Roman"/>
          <w:sz w:val="28"/>
          <w:szCs w:val="28"/>
        </w:rPr>
        <w:t>11</w:t>
      </w:r>
      <w:r w:rsidR="00FA5898" w:rsidRPr="00FA5898">
        <w:rPr>
          <w:rFonts w:ascii="Times New Roman" w:hAnsi="Times New Roman" w:cs="Times New Roman"/>
          <w:sz w:val="28"/>
          <w:szCs w:val="28"/>
        </w:rPr>
        <w:t xml:space="preserve"> </w:t>
      </w:r>
      <w:r w:rsidR="00065FF3">
        <w:rPr>
          <w:rFonts w:ascii="Times New Roman" w:hAnsi="Times New Roman" w:cs="Times New Roman"/>
          <w:sz w:val="28"/>
          <w:szCs w:val="28"/>
        </w:rPr>
        <w:t>от 4</w:t>
      </w:r>
      <w:r w:rsidRPr="00FA5898">
        <w:rPr>
          <w:rFonts w:ascii="Times New Roman" w:hAnsi="Times New Roman" w:cs="Times New Roman"/>
          <w:sz w:val="28"/>
          <w:szCs w:val="28"/>
        </w:rPr>
        <w:t xml:space="preserve"> участников общественного обсуждения:</w:t>
      </w:r>
      <w:r w:rsidR="002C1DAB" w:rsidRPr="00FA5898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 науки «Вологодский научный </w:t>
      </w:r>
      <w:r w:rsidR="00065FF3">
        <w:rPr>
          <w:rFonts w:ascii="Times New Roman" w:hAnsi="Times New Roman" w:cs="Times New Roman"/>
          <w:sz w:val="28"/>
          <w:szCs w:val="28"/>
        </w:rPr>
        <w:t>центр Российской Академии наук»,</w:t>
      </w:r>
      <w:r w:rsidR="002C1DAB" w:rsidRPr="00FA5898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образовательного учреждения высше</w:t>
      </w:r>
      <w:r w:rsidR="00065FF3">
        <w:rPr>
          <w:rFonts w:ascii="Times New Roman" w:hAnsi="Times New Roman" w:cs="Times New Roman"/>
          <w:sz w:val="28"/>
          <w:szCs w:val="28"/>
        </w:rPr>
        <w:t>го образования «</w:t>
      </w:r>
      <w:proofErr w:type="spellStart"/>
      <w:r w:rsidR="00065FF3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="00065FF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университет»,</w:t>
      </w:r>
      <w:r w:rsidR="002C1DAB" w:rsidRPr="00FA5898">
        <w:rPr>
          <w:rFonts w:ascii="Times New Roman" w:hAnsi="Times New Roman" w:cs="Times New Roman"/>
          <w:sz w:val="28"/>
          <w:szCs w:val="28"/>
        </w:rPr>
        <w:t xml:space="preserve"> бюджетного учреждения высшего образования Ханты-Мансийского автономного округа - Югры «Сургутс</w:t>
      </w:r>
      <w:r w:rsidR="00065FF3">
        <w:rPr>
          <w:rFonts w:ascii="Times New Roman" w:hAnsi="Times New Roman" w:cs="Times New Roman"/>
          <w:sz w:val="28"/>
          <w:szCs w:val="28"/>
        </w:rPr>
        <w:t xml:space="preserve">кий государственный университет»,  </w:t>
      </w:r>
      <w:r w:rsidR="00065FF3" w:rsidRPr="00FA5898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 w:rsidR="00065FF3">
        <w:rPr>
          <w:rFonts w:ascii="Times New Roman" w:hAnsi="Times New Roman" w:cs="Times New Roman"/>
          <w:sz w:val="28"/>
          <w:szCs w:val="28"/>
        </w:rPr>
        <w:t>«Югорский государственный университет».</w:t>
      </w:r>
    </w:p>
    <w:p w:rsidR="0011602B" w:rsidRPr="00FA5898" w:rsidRDefault="0011602B" w:rsidP="002C1D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  <w:r w:rsidR="008C01AE" w:rsidRPr="00FA5898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Pr="00FA5898">
        <w:rPr>
          <w:rFonts w:ascii="Times New Roman" w:hAnsi="Times New Roman" w:cs="Times New Roman"/>
          <w:sz w:val="28"/>
          <w:szCs w:val="28"/>
        </w:rPr>
        <w:t>отражены в приложении к протоколу.</w:t>
      </w:r>
    </w:p>
    <w:p w:rsidR="002C1DAB" w:rsidRPr="00FA5898" w:rsidRDefault="002C1DAB" w:rsidP="002C1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2B" w:rsidRPr="00FA5898" w:rsidRDefault="0011602B" w:rsidP="002C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>РЕШИЛИ:</w:t>
      </w:r>
    </w:p>
    <w:p w:rsidR="0011602B" w:rsidRPr="00FA5898" w:rsidRDefault="0011602B" w:rsidP="002C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eastAsia="Times New Roman" w:hAnsi="Times New Roman" w:cs="Times New Roman"/>
          <w:sz w:val="28"/>
          <w:szCs w:val="28"/>
        </w:rPr>
        <w:t>Внести корректировки в проект прогноза социально-экономического развития муниципального образования городской округ Сургут Ханты</w:t>
      </w:r>
      <w:r w:rsidR="002C1DAB" w:rsidRPr="00FA589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5898"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— Югры на 202</w:t>
      </w:r>
      <w:r w:rsidR="002C1DAB" w:rsidRPr="00FA58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5898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2C1DAB" w:rsidRPr="00FA5898">
        <w:rPr>
          <w:rFonts w:ascii="Times New Roman" w:eastAsia="Times New Roman" w:hAnsi="Times New Roman" w:cs="Times New Roman"/>
          <w:sz w:val="28"/>
          <w:szCs w:val="28"/>
        </w:rPr>
        <w:t>6</w:t>
      </w:r>
      <w:r w:rsidR="00791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B26" w:rsidRPr="00FA5898">
        <w:rPr>
          <w:rFonts w:ascii="Times New Roman" w:hAnsi="Times New Roman" w:cs="Times New Roman"/>
          <w:sz w:val="28"/>
          <w:szCs w:val="28"/>
        </w:rPr>
        <w:t>–</w:t>
      </w:r>
      <w:r w:rsidRPr="00FA589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C1DAB" w:rsidRPr="00FA589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A5898">
        <w:rPr>
          <w:rFonts w:ascii="Times New Roman" w:eastAsia="Times New Roman" w:hAnsi="Times New Roman" w:cs="Times New Roman"/>
          <w:sz w:val="28"/>
          <w:szCs w:val="28"/>
        </w:rPr>
        <w:t xml:space="preserve"> годов </w:t>
      </w:r>
      <w:r w:rsidR="002C1DAB" w:rsidRPr="00FA5898">
        <w:rPr>
          <w:rFonts w:ascii="Times New Roman" w:eastAsia="Times New Roman" w:hAnsi="Times New Roman" w:cs="Times New Roman"/>
          <w:sz w:val="28"/>
          <w:szCs w:val="28"/>
        </w:rPr>
        <w:br/>
      </w:r>
      <w:r w:rsidRPr="00FA5898">
        <w:rPr>
          <w:rFonts w:ascii="Times New Roman" w:eastAsia="Times New Roman" w:hAnsi="Times New Roman" w:cs="Times New Roman"/>
          <w:sz w:val="28"/>
          <w:szCs w:val="28"/>
        </w:rPr>
        <w:t>с учетом поступивших предложений.</w:t>
      </w:r>
    </w:p>
    <w:p w:rsidR="00D602ED" w:rsidRPr="00FA5898" w:rsidRDefault="00D602ED" w:rsidP="00116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00A" w:rsidRPr="00FA5898" w:rsidRDefault="00FF300A" w:rsidP="0011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F300A" w:rsidRPr="00FA5898" w:rsidRDefault="00FF300A" w:rsidP="0011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</w:p>
    <w:p w:rsidR="00FF300A" w:rsidRPr="00FA5898" w:rsidRDefault="00FF300A" w:rsidP="0011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>прогнозирования</w:t>
      </w:r>
    </w:p>
    <w:p w:rsidR="00FF300A" w:rsidRPr="00FA5898" w:rsidRDefault="00FF300A" w:rsidP="0011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FA589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С.Г. Мединцева</w:t>
      </w:r>
    </w:p>
    <w:p w:rsidR="000B5A33" w:rsidRPr="00FA5898" w:rsidRDefault="000B5A33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A33" w:rsidRPr="00FA5898" w:rsidRDefault="000B5A33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898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898">
        <w:rPr>
          <w:rFonts w:ascii="Times New Roman" w:hAnsi="Times New Roman" w:cs="Times New Roman"/>
          <w:sz w:val="20"/>
          <w:szCs w:val="20"/>
        </w:rPr>
        <w:t>Бергер Ольга Сергеевна,</w:t>
      </w: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898">
        <w:rPr>
          <w:rFonts w:ascii="Times New Roman" w:hAnsi="Times New Roman" w:cs="Times New Roman"/>
          <w:sz w:val="20"/>
          <w:szCs w:val="20"/>
        </w:rPr>
        <w:t>специалист-эксперт,</w:t>
      </w: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898">
        <w:rPr>
          <w:rFonts w:ascii="Times New Roman" w:hAnsi="Times New Roman" w:cs="Times New Roman"/>
          <w:sz w:val="20"/>
          <w:szCs w:val="20"/>
        </w:rPr>
        <w:t xml:space="preserve">отдел социально-экономического </w:t>
      </w:r>
    </w:p>
    <w:p w:rsidR="006D54E6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898">
        <w:rPr>
          <w:rFonts w:ascii="Times New Roman" w:hAnsi="Times New Roman" w:cs="Times New Roman"/>
          <w:sz w:val="20"/>
          <w:szCs w:val="20"/>
        </w:rPr>
        <w:t>прогнозирования,</w:t>
      </w:r>
    </w:p>
    <w:p w:rsidR="0011602B" w:rsidRPr="00FA5898" w:rsidRDefault="006D54E6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898">
        <w:rPr>
          <w:rFonts w:ascii="Times New Roman" w:hAnsi="Times New Roman" w:cs="Times New Roman"/>
          <w:sz w:val="20"/>
          <w:szCs w:val="20"/>
        </w:rPr>
        <w:t>тел.: (3462) 522104</w:t>
      </w:r>
    </w:p>
    <w:p w:rsidR="0011602B" w:rsidRPr="00FA5898" w:rsidRDefault="0011602B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02B" w:rsidRPr="00FA5898" w:rsidRDefault="0011602B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1602B" w:rsidRPr="00FA5898" w:rsidSect="00221A9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1602B" w:rsidRPr="00FA5898" w:rsidRDefault="0011602B" w:rsidP="00C8008D">
      <w:pPr>
        <w:spacing w:after="0" w:line="240" w:lineRule="auto"/>
        <w:ind w:right="-12049" w:firstLine="11340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протоколу </w:t>
      </w:r>
    </w:p>
    <w:p w:rsidR="0011602B" w:rsidRPr="00FA5898" w:rsidRDefault="0011602B" w:rsidP="00C8008D">
      <w:pPr>
        <w:spacing w:after="0" w:line="240" w:lineRule="auto"/>
        <w:ind w:right="-12049" w:firstLine="11340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от </w:t>
      </w:r>
      <w:r w:rsidR="00355905" w:rsidRPr="00FA5898">
        <w:rPr>
          <w:rFonts w:ascii="Times New Roman" w:hAnsi="Times New Roman" w:cs="Times New Roman"/>
          <w:sz w:val="28"/>
          <w:szCs w:val="28"/>
        </w:rPr>
        <w:t>1</w:t>
      </w:r>
      <w:r w:rsidR="00791B26">
        <w:rPr>
          <w:rFonts w:ascii="Times New Roman" w:hAnsi="Times New Roman" w:cs="Times New Roman"/>
          <w:sz w:val="28"/>
          <w:szCs w:val="28"/>
        </w:rPr>
        <w:t>7</w:t>
      </w:r>
      <w:r w:rsidR="00355905" w:rsidRPr="00FA5898">
        <w:rPr>
          <w:rFonts w:ascii="Times New Roman" w:hAnsi="Times New Roman" w:cs="Times New Roman"/>
          <w:sz w:val="28"/>
          <w:szCs w:val="28"/>
        </w:rPr>
        <w:t>.10.2024</w:t>
      </w:r>
      <w:r w:rsidRPr="00FA5898">
        <w:rPr>
          <w:rFonts w:ascii="Times New Roman" w:hAnsi="Times New Roman" w:cs="Times New Roman"/>
          <w:sz w:val="28"/>
          <w:szCs w:val="28"/>
        </w:rPr>
        <w:t xml:space="preserve"> </w:t>
      </w:r>
      <w:r w:rsidR="00355905" w:rsidRPr="00FA5898">
        <w:rPr>
          <w:rFonts w:ascii="Times New Roman" w:hAnsi="Times New Roman" w:cs="Times New Roman"/>
          <w:sz w:val="28"/>
          <w:szCs w:val="28"/>
        </w:rPr>
        <w:t>№ 9</w:t>
      </w:r>
    </w:p>
    <w:p w:rsidR="0011602B" w:rsidRPr="00201490" w:rsidRDefault="0011602B" w:rsidP="00C8008D">
      <w:pPr>
        <w:spacing w:after="0" w:line="240" w:lineRule="auto"/>
        <w:ind w:right="-12049"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11602B" w:rsidRPr="00FA5898" w:rsidRDefault="0011602B" w:rsidP="00C8008D">
      <w:pPr>
        <w:spacing w:after="0" w:line="240" w:lineRule="auto"/>
        <w:ind w:right="-1204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Перечень предложений, поступивших по результатам общественного обсуждения проекта </w:t>
      </w:r>
    </w:p>
    <w:p w:rsidR="0011602B" w:rsidRPr="00FA5898" w:rsidRDefault="0011602B" w:rsidP="00C8008D">
      <w:pPr>
        <w:spacing w:after="0" w:line="240" w:lineRule="auto"/>
        <w:ind w:right="-12049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5898">
        <w:rPr>
          <w:rFonts w:ascii="Times New Roman" w:hAnsi="Times New Roman" w:cs="Times New Roman"/>
          <w:bCs/>
          <w:sz w:val="28"/>
          <w:szCs w:val="28"/>
        </w:rPr>
        <w:t xml:space="preserve">прогноза социально-экономического развития муниципального образования городской округ Сургут </w:t>
      </w:r>
    </w:p>
    <w:p w:rsidR="0011602B" w:rsidRPr="00FA5898" w:rsidRDefault="0011602B" w:rsidP="00C8008D">
      <w:pPr>
        <w:spacing w:after="0" w:line="240" w:lineRule="auto"/>
        <w:ind w:right="-1204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на 202</w:t>
      </w:r>
      <w:r w:rsidR="00355905" w:rsidRPr="00FA5898">
        <w:rPr>
          <w:rFonts w:ascii="Times New Roman" w:hAnsi="Times New Roman" w:cs="Times New Roman"/>
          <w:sz w:val="28"/>
          <w:szCs w:val="28"/>
        </w:rPr>
        <w:t>5</w:t>
      </w:r>
      <w:r w:rsidRPr="00FA589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55905" w:rsidRPr="00FA5898">
        <w:rPr>
          <w:rFonts w:ascii="Times New Roman" w:hAnsi="Times New Roman" w:cs="Times New Roman"/>
          <w:sz w:val="28"/>
          <w:szCs w:val="28"/>
        </w:rPr>
        <w:t>6 – 2027</w:t>
      </w:r>
      <w:r w:rsidRPr="00FA5898">
        <w:rPr>
          <w:rFonts w:ascii="Times New Roman" w:hAnsi="Times New Roman" w:cs="Times New Roman"/>
          <w:sz w:val="28"/>
          <w:szCs w:val="28"/>
        </w:rPr>
        <w:t xml:space="preserve"> годов, </w:t>
      </w:r>
    </w:p>
    <w:p w:rsidR="0011602B" w:rsidRPr="00FA5898" w:rsidRDefault="0011602B" w:rsidP="00C8008D">
      <w:pPr>
        <w:spacing w:after="0" w:line="240" w:lineRule="auto"/>
        <w:ind w:right="-1204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5898">
        <w:rPr>
          <w:rFonts w:ascii="Times New Roman" w:hAnsi="Times New Roman" w:cs="Times New Roman"/>
          <w:sz w:val="28"/>
          <w:szCs w:val="28"/>
        </w:rPr>
        <w:t xml:space="preserve">проведенного в период с </w:t>
      </w:r>
      <w:r w:rsidR="00355905" w:rsidRPr="00FA5898">
        <w:rPr>
          <w:rFonts w:ascii="Times New Roman" w:hAnsi="Times New Roman" w:cs="Times New Roman"/>
          <w:sz w:val="28"/>
          <w:szCs w:val="28"/>
        </w:rPr>
        <w:t>02.10.204</w:t>
      </w:r>
      <w:r w:rsidRPr="00FA5898">
        <w:rPr>
          <w:rFonts w:ascii="Times New Roman" w:hAnsi="Times New Roman" w:cs="Times New Roman"/>
          <w:sz w:val="28"/>
          <w:szCs w:val="28"/>
        </w:rPr>
        <w:t xml:space="preserve">0 по </w:t>
      </w:r>
      <w:r w:rsidR="00355905" w:rsidRPr="00FA5898">
        <w:rPr>
          <w:rFonts w:ascii="Times New Roman" w:hAnsi="Times New Roman" w:cs="Times New Roman"/>
          <w:sz w:val="28"/>
          <w:szCs w:val="28"/>
        </w:rPr>
        <w:t>16</w:t>
      </w:r>
      <w:r w:rsidRPr="00FA5898">
        <w:rPr>
          <w:rFonts w:ascii="Times New Roman" w:hAnsi="Times New Roman" w:cs="Times New Roman"/>
          <w:sz w:val="28"/>
          <w:szCs w:val="28"/>
        </w:rPr>
        <w:t>.10.202</w:t>
      </w:r>
      <w:r w:rsidR="00355905" w:rsidRPr="00FA5898">
        <w:rPr>
          <w:rFonts w:ascii="Times New Roman" w:hAnsi="Times New Roman" w:cs="Times New Roman"/>
          <w:sz w:val="28"/>
          <w:szCs w:val="28"/>
        </w:rPr>
        <w:t>4</w:t>
      </w:r>
    </w:p>
    <w:p w:rsidR="0011602B" w:rsidRPr="00201490" w:rsidRDefault="0011602B" w:rsidP="001160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752"/>
        <w:gridCol w:w="1760"/>
        <w:gridCol w:w="2032"/>
        <w:gridCol w:w="1460"/>
        <w:gridCol w:w="4435"/>
        <w:gridCol w:w="4724"/>
      </w:tblGrid>
      <w:tr w:rsidR="00FA5898" w:rsidRPr="00FA5898" w:rsidTr="00D27759">
        <w:tc>
          <w:tcPr>
            <w:tcW w:w="752" w:type="dxa"/>
          </w:tcPr>
          <w:p w:rsidR="0011602B" w:rsidRPr="00FA5898" w:rsidRDefault="0011602B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60" w:type="dxa"/>
          </w:tcPr>
          <w:p w:rsidR="0011602B" w:rsidRPr="00FA5898" w:rsidRDefault="0011602B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Дата внесения</w:t>
            </w:r>
          </w:p>
        </w:tc>
        <w:tc>
          <w:tcPr>
            <w:tcW w:w="2032" w:type="dxa"/>
          </w:tcPr>
          <w:p w:rsidR="0011602B" w:rsidRPr="00FA5898" w:rsidRDefault="0011602B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Участник </w:t>
            </w:r>
          </w:p>
          <w:p w:rsidR="0011602B" w:rsidRPr="00FA5898" w:rsidRDefault="0011602B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общественного </w:t>
            </w:r>
          </w:p>
          <w:p w:rsidR="0011602B" w:rsidRPr="00FA5898" w:rsidRDefault="0011602B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обсуждения</w:t>
            </w:r>
          </w:p>
        </w:tc>
        <w:tc>
          <w:tcPr>
            <w:tcW w:w="1460" w:type="dxa"/>
          </w:tcPr>
          <w:p w:rsidR="0011602B" w:rsidRPr="00FA5898" w:rsidRDefault="0011602B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№ предложения</w:t>
            </w:r>
          </w:p>
        </w:tc>
        <w:tc>
          <w:tcPr>
            <w:tcW w:w="4435" w:type="dxa"/>
          </w:tcPr>
          <w:p w:rsidR="0011602B" w:rsidRPr="00FA5898" w:rsidRDefault="0011602B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Содержание предложения</w:t>
            </w:r>
          </w:p>
        </w:tc>
        <w:tc>
          <w:tcPr>
            <w:tcW w:w="4724" w:type="dxa"/>
          </w:tcPr>
          <w:p w:rsidR="0011602B" w:rsidRPr="00FA5898" w:rsidRDefault="0011602B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Результат рассмотрения (принимается/отклоняется). </w:t>
            </w:r>
          </w:p>
          <w:p w:rsidR="0011602B" w:rsidRPr="00FA5898" w:rsidRDefault="0011602B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Мотивированные выводы в случае отклонения</w:t>
            </w:r>
          </w:p>
        </w:tc>
      </w:tr>
      <w:tr w:rsidR="00FA5898" w:rsidRPr="00FA5898" w:rsidTr="00D27759">
        <w:tc>
          <w:tcPr>
            <w:tcW w:w="752" w:type="dxa"/>
            <w:vMerge w:val="restart"/>
          </w:tcPr>
          <w:p w:rsidR="008C01AE" w:rsidRPr="00FA5898" w:rsidRDefault="008C01AE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0" w:type="dxa"/>
            <w:vMerge w:val="restart"/>
          </w:tcPr>
          <w:p w:rsidR="008C01AE" w:rsidRPr="00FA5898" w:rsidRDefault="008C01AE" w:rsidP="00273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14.10.2024</w:t>
            </w:r>
          </w:p>
        </w:tc>
        <w:tc>
          <w:tcPr>
            <w:tcW w:w="2032" w:type="dxa"/>
            <w:vMerge w:val="restart"/>
          </w:tcPr>
          <w:p w:rsidR="008C01AE" w:rsidRPr="00FA5898" w:rsidRDefault="008C01AE" w:rsidP="00273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Федеральное государственное бюджетное учреждения науки «Вологодский научный центр Российской Академии наук»</w:t>
            </w:r>
          </w:p>
        </w:tc>
        <w:tc>
          <w:tcPr>
            <w:tcW w:w="1460" w:type="dxa"/>
          </w:tcPr>
          <w:p w:rsidR="008C01AE" w:rsidRPr="00FA5898" w:rsidRDefault="008C01AE" w:rsidP="00116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5" w:type="dxa"/>
          </w:tcPr>
          <w:p w:rsidR="008C01AE" w:rsidRPr="00FA5898" w:rsidRDefault="008C01AE" w:rsidP="003B06F6">
            <w:pPr>
              <w:spacing w:after="0" w:line="240" w:lineRule="auto"/>
              <w:ind w:firstLine="384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В приложениях 2, </w:t>
            </w:r>
            <w:r w:rsidR="003B06F6">
              <w:rPr>
                <w:rFonts w:ascii="Times New Roman" w:hAnsi="Times New Roman" w:cs="Times New Roman"/>
              </w:rPr>
              <w:t>3</w:t>
            </w:r>
            <w:r w:rsidRPr="00FA5898">
              <w:rPr>
                <w:rFonts w:ascii="Times New Roman" w:hAnsi="Times New Roman" w:cs="Times New Roman"/>
              </w:rPr>
              <w:t xml:space="preserve"> к проекту постановления объем представленного анализа закономерностей; факторов и перспектив развития города существенно меньше, чем в прошлогоднем варианте прогноза на 2024 - 2026 гг. (утвержден постановлением Администрации города Сургута 31.10.2023 г. № 5278), что приводит к менее системной и комплексной оценке тенденций и перспектив развития города</w:t>
            </w:r>
          </w:p>
        </w:tc>
        <w:tc>
          <w:tcPr>
            <w:tcW w:w="4724" w:type="dxa"/>
          </w:tcPr>
          <w:p w:rsidR="008C01AE" w:rsidRPr="00FA5898" w:rsidRDefault="008C01AE" w:rsidP="00AD392B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Принимается.</w:t>
            </w:r>
          </w:p>
          <w:p w:rsidR="008C01AE" w:rsidRPr="00FA5898" w:rsidRDefault="008C01AE" w:rsidP="0011602B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Приложение 2 к проекту дополнено описанием основных тенденций, предпосылок сценариев прогноза</w:t>
            </w:r>
          </w:p>
          <w:p w:rsidR="008C01AE" w:rsidRPr="00FA5898" w:rsidRDefault="008C01AE" w:rsidP="00F7725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5898" w:rsidRPr="00FA5898" w:rsidTr="00D27759">
        <w:tc>
          <w:tcPr>
            <w:tcW w:w="752" w:type="dxa"/>
            <w:vMerge/>
          </w:tcPr>
          <w:p w:rsidR="008C01AE" w:rsidRPr="00FA5898" w:rsidRDefault="008C01AE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8C01AE" w:rsidRPr="00FA5898" w:rsidRDefault="008C01AE" w:rsidP="001160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Merge/>
          </w:tcPr>
          <w:p w:rsidR="008C01AE" w:rsidRPr="00FA5898" w:rsidRDefault="008C01AE" w:rsidP="001160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8C01AE" w:rsidRPr="00FA5898" w:rsidRDefault="008C01AE" w:rsidP="00116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5" w:type="dxa"/>
          </w:tcPr>
          <w:p w:rsidR="008C01AE" w:rsidRPr="00FA5898" w:rsidRDefault="008C01AE" w:rsidP="005F1591">
            <w:pPr>
              <w:spacing w:after="0" w:line="240" w:lineRule="auto"/>
              <w:ind w:firstLine="384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В пояснительных документах к проекту постановления (приложения 2 и </w:t>
            </w:r>
            <w:r w:rsidR="003B06F6">
              <w:rPr>
                <w:rFonts w:ascii="Times New Roman" w:hAnsi="Times New Roman" w:cs="Times New Roman"/>
              </w:rPr>
              <w:t>3</w:t>
            </w:r>
            <w:r w:rsidRPr="00FA5898">
              <w:rPr>
                <w:rFonts w:ascii="Times New Roman" w:hAnsi="Times New Roman" w:cs="Times New Roman"/>
              </w:rPr>
              <w:t>) не упоминаются вопросы и перспективы развития крупной городской агломерации «Сургут-</w:t>
            </w:r>
            <w:proofErr w:type="spellStart"/>
            <w:r w:rsidRPr="00FA5898">
              <w:rPr>
                <w:rFonts w:ascii="Times New Roman" w:hAnsi="Times New Roman" w:cs="Times New Roman"/>
              </w:rPr>
              <w:t>Нефгеюганск</w:t>
            </w:r>
            <w:proofErr w:type="spellEnd"/>
            <w:r w:rsidRPr="00FA5898">
              <w:rPr>
                <w:rFonts w:ascii="Times New Roman" w:hAnsi="Times New Roman" w:cs="Times New Roman"/>
              </w:rPr>
              <w:t xml:space="preserve">» (соглашение о ее создании подписано 11.10.2022, сформирован координационный совет по развитию данной агломерации, разработано 35 межмуниципальных, </w:t>
            </w:r>
            <w:proofErr w:type="spellStart"/>
            <w:r w:rsidRPr="00FA5898">
              <w:rPr>
                <w:rFonts w:ascii="Times New Roman" w:hAnsi="Times New Roman" w:cs="Times New Roman"/>
              </w:rPr>
              <w:t>внутриагломерационных</w:t>
            </w:r>
            <w:proofErr w:type="spellEnd"/>
            <w:r w:rsidRPr="00FA5898">
              <w:rPr>
                <w:rFonts w:ascii="Times New Roman" w:hAnsi="Times New Roman" w:cs="Times New Roman"/>
              </w:rPr>
              <w:t xml:space="preserve"> проектов, начата реализация 15 проектов) в части использования потенциальных положительных агломерационных эффектов для развития города (рост объема отгрузки товаров и услуг, инвестиций в основной капитал, поступлений налогов и сборов в </w:t>
            </w:r>
            <w:r w:rsidRPr="00FA5898">
              <w:rPr>
                <w:rFonts w:ascii="Times New Roman" w:hAnsi="Times New Roman" w:cs="Times New Roman"/>
              </w:rPr>
              <w:lastRenderedPageBreak/>
              <w:t>бюджетную систему и др.), а также нивел</w:t>
            </w:r>
            <w:r w:rsidR="00EE060C">
              <w:rPr>
                <w:rFonts w:ascii="Times New Roman" w:hAnsi="Times New Roman" w:cs="Times New Roman"/>
              </w:rPr>
              <w:t>и</w:t>
            </w:r>
            <w:r w:rsidRPr="00FA5898">
              <w:rPr>
                <w:rFonts w:ascii="Times New Roman" w:hAnsi="Times New Roman" w:cs="Times New Roman"/>
              </w:rPr>
              <w:t>рования возможных рисков развития города, обусловленных проявлением негативных агломерационных эффектов (несбалансированность миграционных потоко</w:t>
            </w:r>
            <w:r w:rsidR="003B06F6">
              <w:rPr>
                <w:rFonts w:ascii="Times New Roman" w:hAnsi="Times New Roman" w:cs="Times New Roman"/>
              </w:rPr>
              <w:t>в между ядром агломерации и спут</w:t>
            </w:r>
            <w:r w:rsidRPr="00FA5898">
              <w:rPr>
                <w:rFonts w:ascii="Times New Roman" w:hAnsi="Times New Roman" w:cs="Times New Roman"/>
              </w:rPr>
              <w:t>никовой зоной, увеличение нагрузки на транспортную инфрастру</w:t>
            </w:r>
            <w:r w:rsidR="00EE060C">
              <w:rPr>
                <w:rFonts w:ascii="Times New Roman" w:hAnsi="Times New Roman" w:cs="Times New Roman"/>
              </w:rPr>
              <w:t>кт</w:t>
            </w:r>
            <w:r w:rsidRPr="00FA5898">
              <w:rPr>
                <w:rFonts w:ascii="Times New Roman" w:hAnsi="Times New Roman" w:cs="Times New Roman"/>
              </w:rPr>
              <w:t>уру города и др.).</w:t>
            </w:r>
          </w:p>
          <w:p w:rsidR="008C01AE" w:rsidRPr="00FA5898" w:rsidRDefault="008C01AE" w:rsidP="005F1591">
            <w:pPr>
              <w:spacing w:after="0" w:line="240" w:lineRule="auto"/>
              <w:ind w:firstLine="38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</w:tcPr>
          <w:p w:rsidR="008C01AE" w:rsidRPr="00FA5898" w:rsidRDefault="008C01AE" w:rsidP="005F1591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lastRenderedPageBreak/>
              <w:t>Отклоняется.</w:t>
            </w:r>
          </w:p>
          <w:p w:rsidR="008C01AE" w:rsidRPr="00FA5898" w:rsidRDefault="008C01AE" w:rsidP="00C675F3">
            <w:pPr>
              <w:pStyle w:val="aa"/>
              <w:shd w:val="clear" w:color="auto" w:fill="FFFFFF"/>
              <w:spacing w:before="0" w:beforeAutospacing="0" w:after="0" w:afterAutospacing="0"/>
              <w:ind w:firstLine="286"/>
              <w:jc w:val="both"/>
              <w:rPr>
                <w:sz w:val="22"/>
                <w:szCs w:val="22"/>
              </w:rPr>
            </w:pPr>
            <w:r w:rsidRPr="00FA5898">
              <w:rPr>
                <w:sz w:val="22"/>
                <w:szCs w:val="22"/>
              </w:rPr>
              <w:t>Проект учитывает возможности города, как самого крупного муниципального образования агломерации, реализовывать концепцию устойчивого развития, подразумевающую сбалансированный экономический, социальный и экологический аспекты городского развития, это соответствует основному приоритетному направлению пространственного развития – увеличению насыщенности «ресурса развития» (человеческого капитала, инновационного капитала, инфраструктуры, современных социальных и производственных технологий).</w:t>
            </w:r>
          </w:p>
          <w:p w:rsidR="00EB72FE" w:rsidRDefault="008C01AE" w:rsidP="00C675F3">
            <w:pPr>
              <w:pStyle w:val="aa"/>
              <w:shd w:val="clear" w:color="auto" w:fill="FFFFFF"/>
              <w:spacing w:before="0" w:beforeAutospacing="0" w:after="0" w:afterAutospacing="0"/>
              <w:ind w:firstLine="428"/>
              <w:jc w:val="both"/>
              <w:rPr>
                <w:sz w:val="22"/>
                <w:szCs w:val="22"/>
              </w:rPr>
            </w:pPr>
            <w:r w:rsidRPr="00FA5898">
              <w:rPr>
                <w:sz w:val="22"/>
                <w:szCs w:val="22"/>
              </w:rPr>
              <w:t xml:space="preserve">Агломерации должны стать локомотивами роста, будут развивать новые инновационные кластеры, так как в агломерациях </w:t>
            </w:r>
            <w:r w:rsidRPr="00FA5898">
              <w:rPr>
                <w:sz w:val="22"/>
                <w:szCs w:val="22"/>
              </w:rPr>
              <w:lastRenderedPageBreak/>
              <w:t>сформированы наиболее удобные условия для создания инфраструктуры и появления новых экономических взаимоотношений.</w:t>
            </w:r>
            <w:r w:rsidR="003B06F6">
              <w:rPr>
                <w:sz w:val="22"/>
                <w:szCs w:val="22"/>
              </w:rPr>
              <w:t xml:space="preserve"> </w:t>
            </w:r>
          </w:p>
          <w:p w:rsidR="00EB72FE" w:rsidRDefault="00CC4FEE" w:rsidP="00C675F3">
            <w:pPr>
              <w:pStyle w:val="aa"/>
              <w:shd w:val="clear" w:color="auto" w:fill="FFFFFF"/>
              <w:spacing w:before="0" w:beforeAutospacing="0" w:after="0" w:afterAutospacing="0"/>
              <w:ind w:firstLine="428"/>
              <w:jc w:val="both"/>
              <w:rPr>
                <w:sz w:val="22"/>
                <w:szCs w:val="22"/>
              </w:rPr>
            </w:pPr>
            <w:r w:rsidRPr="00CC4FEE">
              <w:rPr>
                <w:sz w:val="22"/>
                <w:szCs w:val="22"/>
              </w:rPr>
              <w:t xml:space="preserve">Вышеуказанное отражено </w:t>
            </w:r>
            <w:r w:rsidR="00EB72FE" w:rsidRPr="00CC4FEE">
              <w:rPr>
                <w:sz w:val="22"/>
                <w:szCs w:val="22"/>
              </w:rPr>
              <w:t xml:space="preserve">в </w:t>
            </w:r>
            <w:r w:rsidRPr="00CC4FEE">
              <w:rPr>
                <w:sz w:val="22"/>
                <w:szCs w:val="22"/>
              </w:rPr>
              <w:t>разделе 6</w:t>
            </w:r>
            <w:r w:rsidR="00EB72FE" w:rsidRPr="00CC4FEE">
              <w:rPr>
                <w:sz w:val="22"/>
                <w:szCs w:val="22"/>
              </w:rPr>
              <w:t xml:space="preserve"> «Промышленное производство», </w:t>
            </w:r>
            <w:r w:rsidRPr="00CC4FEE">
              <w:rPr>
                <w:sz w:val="22"/>
                <w:szCs w:val="22"/>
              </w:rPr>
              <w:t xml:space="preserve">в разделе 9 «Строительство» и в разделе 10 </w:t>
            </w:r>
            <w:r w:rsidR="00EB72FE" w:rsidRPr="00CC4FEE">
              <w:rPr>
                <w:sz w:val="22"/>
                <w:szCs w:val="22"/>
              </w:rPr>
              <w:t xml:space="preserve">«Инвестиции» </w:t>
            </w:r>
            <w:r w:rsidR="00284C73" w:rsidRPr="00CC4FEE">
              <w:rPr>
                <w:sz w:val="22"/>
                <w:szCs w:val="22"/>
              </w:rPr>
              <w:t>приложени</w:t>
            </w:r>
            <w:r>
              <w:rPr>
                <w:sz w:val="22"/>
                <w:szCs w:val="22"/>
              </w:rPr>
              <w:t>я</w:t>
            </w:r>
            <w:r w:rsidR="00284C73" w:rsidRPr="00CC4FEE">
              <w:rPr>
                <w:sz w:val="22"/>
                <w:szCs w:val="22"/>
              </w:rPr>
              <w:t xml:space="preserve"> 3</w:t>
            </w:r>
            <w:r w:rsidRPr="00CC4FEE">
              <w:rPr>
                <w:sz w:val="22"/>
                <w:szCs w:val="22"/>
              </w:rPr>
              <w:t xml:space="preserve"> проекта.</w:t>
            </w:r>
          </w:p>
          <w:p w:rsidR="008C01AE" w:rsidRPr="00EB72FE" w:rsidRDefault="008C01AE" w:rsidP="00CC4FEE">
            <w:pPr>
              <w:pStyle w:val="aa"/>
              <w:shd w:val="clear" w:color="auto" w:fill="FFFFFF"/>
              <w:spacing w:before="0" w:beforeAutospacing="0" w:after="0" w:afterAutospacing="0"/>
              <w:ind w:firstLine="428"/>
              <w:jc w:val="both"/>
              <w:rPr>
                <w:sz w:val="22"/>
                <w:szCs w:val="22"/>
              </w:rPr>
            </w:pPr>
            <w:r w:rsidRPr="00FA5898">
              <w:t xml:space="preserve">На территории города реализуются (планируются к реализации) проекты в различных сферах деятельности, имеющие </w:t>
            </w:r>
            <w:proofErr w:type="spellStart"/>
            <w:r w:rsidRPr="00FA5898">
              <w:t>общеагломерационное</w:t>
            </w:r>
            <w:proofErr w:type="spellEnd"/>
            <w:r w:rsidRPr="00FA5898">
              <w:t xml:space="preserve">, региональное и федеральное значение в различных сферах деятельности. Это 15 инвестиционных проектов общим объемом более 190 млрд. </w:t>
            </w:r>
            <w:r w:rsidRPr="00CC4FEE">
              <w:t>рублей</w:t>
            </w:r>
            <w:r w:rsidR="00CC4FEE" w:rsidRPr="00CC4FEE">
              <w:rPr>
                <w:sz w:val="22"/>
                <w:szCs w:val="22"/>
              </w:rPr>
              <w:t>, которые отражены в раздел</w:t>
            </w:r>
            <w:r w:rsidR="00CC4FEE">
              <w:rPr>
                <w:sz w:val="22"/>
                <w:szCs w:val="22"/>
              </w:rPr>
              <w:t>ах</w:t>
            </w:r>
            <w:r w:rsidR="00CC4FEE" w:rsidRPr="00CC4FEE">
              <w:rPr>
                <w:sz w:val="22"/>
                <w:szCs w:val="22"/>
              </w:rPr>
              <w:t xml:space="preserve"> </w:t>
            </w:r>
            <w:r w:rsidR="00CC4FEE">
              <w:rPr>
                <w:sz w:val="22"/>
                <w:szCs w:val="22"/>
              </w:rPr>
              <w:t>6,9,10</w:t>
            </w:r>
            <w:r w:rsidR="00CC4FEE" w:rsidRPr="00CC4FEE">
              <w:rPr>
                <w:sz w:val="22"/>
                <w:szCs w:val="22"/>
              </w:rPr>
              <w:t xml:space="preserve"> приложения 3 проекта</w:t>
            </w:r>
            <w:r w:rsidR="00CC4FEE">
              <w:rPr>
                <w:sz w:val="22"/>
                <w:szCs w:val="22"/>
              </w:rPr>
              <w:t>.</w:t>
            </w:r>
          </w:p>
        </w:tc>
      </w:tr>
      <w:tr w:rsidR="00FA5898" w:rsidRPr="00FA5898" w:rsidTr="00D27759">
        <w:trPr>
          <w:trHeight w:val="853"/>
        </w:trPr>
        <w:tc>
          <w:tcPr>
            <w:tcW w:w="752" w:type="dxa"/>
            <w:vMerge/>
          </w:tcPr>
          <w:p w:rsidR="008C01AE" w:rsidRPr="00FA5898" w:rsidRDefault="008C01AE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8C01AE" w:rsidRPr="00FA5898" w:rsidRDefault="008C01AE" w:rsidP="001160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Merge/>
          </w:tcPr>
          <w:p w:rsidR="008C01AE" w:rsidRPr="00FA5898" w:rsidRDefault="008C01AE" w:rsidP="001160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8C01AE" w:rsidRPr="00FA5898" w:rsidRDefault="008C01AE" w:rsidP="00116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5" w:type="dxa"/>
          </w:tcPr>
          <w:p w:rsidR="008C01AE" w:rsidRPr="00FA5898" w:rsidRDefault="008C01AE" w:rsidP="006430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Требуют уточнения или пояснения факт снижения в консервативном сценарии индекса промышленного производства по крупным и средним организациям (на 3,9</w:t>
            </w:r>
            <w:r w:rsidR="003B06F6">
              <w:rPr>
                <w:rFonts w:ascii="Times New Roman" w:hAnsi="Times New Roman" w:cs="Times New Roman"/>
              </w:rPr>
              <w:t>%</w:t>
            </w:r>
            <w:r w:rsidRPr="00FA5898">
              <w:rPr>
                <w:rFonts w:ascii="Times New Roman" w:hAnsi="Times New Roman" w:cs="Times New Roman"/>
              </w:rPr>
              <w:t>) при прогнозируемом по данному сценарию прирост среднегодовой численности занятых в экономике (на 4,894), инвестиций в основной капитал (на 6,7</w:t>
            </w:r>
            <w:r w:rsidR="003B06F6">
              <w:rPr>
                <w:rFonts w:ascii="Times New Roman" w:hAnsi="Times New Roman" w:cs="Times New Roman"/>
              </w:rPr>
              <w:t>%</w:t>
            </w:r>
            <w:r w:rsidRPr="00FA5898">
              <w:rPr>
                <w:rFonts w:ascii="Times New Roman" w:hAnsi="Times New Roman" w:cs="Times New Roman"/>
              </w:rPr>
              <w:t>) и фонда заработной платы (на 20%)</w:t>
            </w:r>
          </w:p>
          <w:p w:rsidR="008C01AE" w:rsidRPr="00FA5898" w:rsidRDefault="008C01AE" w:rsidP="006430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</w:tcPr>
          <w:p w:rsidR="008C01AE" w:rsidRPr="00FA5898" w:rsidRDefault="008C01AE" w:rsidP="00643065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Отклоняется.</w:t>
            </w:r>
          </w:p>
          <w:p w:rsidR="008C01AE" w:rsidRPr="00FA5898" w:rsidRDefault="008C01AE" w:rsidP="00643065">
            <w:pPr>
              <w:spacing w:after="0" w:line="240" w:lineRule="auto"/>
              <w:ind w:firstLine="286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По консервативному варианту прогноза снижение объема промышленного производства – 5,9%, рост объема инвестиций – 2,4</w:t>
            </w:r>
            <w:r w:rsidRPr="00CC4FEE">
              <w:rPr>
                <w:rFonts w:ascii="Times New Roman" w:hAnsi="Times New Roman" w:cs="Times New Roman"/>
              </w:rPr>
              <w:t>%, фонда заработной платы – 6,6%</w:t>
            </w:r>
            <w:r w:rsidR="009573CB" w:rsidRPr="00CC4FEE">
              <w:rPr>
                <w:rFonts w:ascii="Times New Roman" w:hAnsi="Times New Roman" w:cs="Times New Roman"/>
              </w:rPr>
              <w:t>, численности занятых в экономике – 1,4%</w:t>
            </w:r>
            <w:r w:rsidRPr="00CC4FEE">
              <w:rPr>
                <w:rFonts w:ascii="Times New Roman" w:hAnsi="Times New Roman" w:cs="Times New Roman"/>
              </w:rPr>
              <w:t>.</w:t>
            </w:r>
          </w:p>
          <w:p w:rsidR="008C01AE" w:rsidRPr="00FA5898" w:rsidRDefault="008C01AE" w:rsidP="00643065">
            <w:pPr>
              <w:spacing w:after="0" w:line="240" w:lineRule="auto"/>
              <w:ind w:firstLine="286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 Снижение по промышленному производству определяется заложенными в прогноз более негативными предпосылками по объему производства нефтепродуктов, составляющему около 83% от его объема и наиболее зависящего от геополитических факторов.</w:t>
            </w:r>
          </w:p>
          <w:p w:rsidR="003B06F6" w:rsidRPr="00FA5898" w:rsidRDefault="008C01AE" w:rsidP="0088474D">
            <w:pPr>
              <w:spacing w:after="0" w:line="240" w:lineRule="auto"/>
              <w:ind w:firstLine="286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При этом надо отметить, </w:t>
            </w:r>
            <w:r w:rsidR="003B06F6">
              <w:rPr>
                <w:rFonts w:ascii="Times New Roman" w:hAnsi="Times New Roman" w:cs="Times New Roman"/>
                <w:szCs w:val="28"/>
              </w:rPr>
              <w:t>производство нефтепродуктов</w:t>
            </w:r>
            <w:r w:rsidRPr="00FA5898">
              <w:rPr>
                <w:rFonts w:ascii="Times New Roman" w:hAnsi="Times New Roman" w:cs="Times New Roman"/>
              </w:rPr>
              <w:t xml:space="preserve"> осуществляется </w:t>
            </w:r>
            <w:r w:rsidRPr="00FA5898">
              <w:rPr>
                <w:rFonts w:ascii="Times New Roman" w:hAnsi="Times New Roman" w:cs="Times New Roman"/>
                <w:szCs w:val="28"/>
              </w:rPr>
              <w:t>за пределами муниципального образования</w:t>
            </w:r>
            <w:r w:rsidRPr="00FA5898">
              <w:rPr>
                <w:rFonts w:ascii="Times New Roman" w:hAnsi="Times New Roman" w:cs="Times New Roman"/>
              </w:rPr>
              <w:t xml:space="preserve"> из давальческого сырья, добытого на территории автономного округа</w:t>
            </w:r>
          </w:p>
        </w:tc>
      </w:tr>
      <w:tr w:rsidR="00FA5898" w:rsidRPr="00FA5898" w:rsidTr="00D27759">
        <w:tc>
          <w:tcPr>
            <w:tcW w:w="752" w:type="dxa"/>
            <w:vMerge/>
          </w:tcPr>
          <w:p w:rsidR="008C01AE" w:rsidRPr="00FA5898" w:rsidRDefault="008C01AE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8C01AE" w:rsidRPr="00FA5898" w:rsidRDefault="008C01AE" w:rsidP="001160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Merge/>
          </w:tcPr>
          <w:p w:rsidR="008C01AE" w:rsidRPr="00FA5898" w:rsidRDefault="008C01AE" w:rsidP="001160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8C01AE" w:rsidRPr="00FA5898" w:rsidRDefault="00CE2635" w:rsidP="00116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5" w:type="dxa"/>
          </w:tcPr>
          <w:p w:rsidR="008C01AE" w:rsidRPr="00FA5898" w:rsidRDefault="008C01AE" w:rsidP="00643065">
            <w:pPr>
              <w:spacing w:after="0" w:line="240" w:lineRule="auto"/>
              <w:ind w:firstLine="384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Ряд показателей прогноза социально-экономического развития городского округа (приложение 1) показывает уровень </w:t>
            </w:r>
            <w:r w:rsidRPr="00FA5898">
              <w:rPr>
                <w:rFonts w:ascii="Times New Roman" w:hAnsi="Times New Roman" w:cs="Times New Roman"/>
              </w:rPr>
              <w:lastRenderedPageBreak/>
              <w:t xml:space="preserve">обеспеченности отдельными объектами социальной инфраструктуры (библиотеками, объектами </w:t>
            </w:r>
            <w:r w:rsidRPr="00FA589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C741B9" wp14:editId="1F312DCD">
                  <wp:extent cx="6096" cy="12188"/>
                  <wp:effectExtent l="0" t="0" r="0" b="0"/>
                  <wp:docPr id="4263" name="Picture 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3" name="Picture 4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5898">
              <w:rPr>
                <w:rFonts w:ascii="Times New Roman" w:hAnsi="Times New Roman" w:cs="Times New Roman"/>
              </w:rPr>
              <w:t>клубного типа, кинозалами, торговой площадью, предприятиями общепита и т.д.) в % норматива. Соответственно, в примечании к таблицам с прогнозом или в приложениях к постановлению, на наш взгляд, целесообразно сделать ссылки на соответствующие нормативно-правовые акты, которыми утверждены данные нормативы</w:t>
            </w:r>
          </w:p>
        </w:tc>
        <w:tc>
          <w:tcPr>
            <w:tcW w:w="4724" w:type="dxa"/>
          </w:tcPr>
          <w:p w:rsidR="008C01AE" w:rsidRPr="00FA5898" w:rsidRDefault="008C01AE" w:rsidP="00BB5A84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lastRenderedPageBreak/>
              <w:t>Принимается.</w:t>
            </w:r>
          </w:p>
          <w:p w:rsidR="008C01AE" w:rsidRPr="00FA5898" w:rsidRDefault="008C01AE" w:rsidP="00BB5A84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П</w:t>
            </w:r>
            <w:r w:rsidR="00CC11BD">
              <w:rPr>
                <w:rFonts w:ascii="Times New Roman" w:hAnsi="Times New Roman" w:cs="Times New Roman"/>
              </w:rPr>
              <w:t>роект</w:t>
            </w:r>
            <w:r w:rsidRPr="00FA5898">
              <w:rPr>
                <w:rFonts w:ascii="Times New Roman" w:hAnsi="Times New Roman" w:cs="Times New Roman"/>
              </w:rPr>
              <w:t xml:space="preserve"> дополнен перечнем соответствующих правовых актов</w:t>
            </w:r>
          </w:p>
          <w:p w:rsidR="008C01AE" w:rsidRPr="00FA5898" w:rsidRDefault="008C01AE" w:rsidP="001160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5898" w:rsidRPr="00FA5898" w:rsidTr="00D27759">
        <w:tc>
          <w:tcPr>
            <w:tcW w:w="752" w:type="dxa"/>
            <w:vMerge w:val="restart"/>
          </w:tcPr>
          <w:p w:rsidR="00D27759" w:rsidRPr="00FA5898" w:rsidRDefault="00D27759" w:rsidP="00CE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60" w:type="dxa"/>
            <w:vMerge w:val="restart"/>
          </w:tcPr>
          <w:p w:rsidR="00D27759" w:rsidRPr="00FA5898" w:rsidRDefault="00D27759" w:rsidP="00CE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10.10.2024</w:t>
            </w:r>
          </w:p>
        </w:tc>
        <w:tc>
          <w:tcPr>
            <w:tcW w:w="2032" w:type="dxa"/>
            <w:vMerge w:val="restart"/>
          </w:tcPr>
          <w:p w:rsidR="00D27759" w:rsidRPr="00FA5898" w:rsidRDefault="00D27759" w:rsidP="00CE2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proofErr w:type="spellStart"/>
            <w:r w:rsidRPr="00FA5898">
              <w:rPr>
                <w:rFonts w:ascii="Times New Roman" w:hAnsi="Times New Roman" w:cs="Times New Roman"/>
              </w:rPr>
              <w:t>Нижневартовский</w:t>
            </w:r>
            <w:proofErr w:type="spellEnd"/>
            <w:r w:rsidRPr="00FA5898">
              <w:rPr>
                <w:rFonts w:ascii="Times New Roman" w:hAnsi="Times New Roman" w:cs="Times New Roman"/>
              </w:rPr>
              <w:t xml:space="preserve"> государственный университет»</w:t>
            </w:r>
          </w:p>
        </w:tc>
        <w:tc>
          <w:tcPr>
            <w:tcW w:w="1460" w:type="dxa"/>
          </w:tcPr>
          <w:p w:rsidR="00D27759" w:rsidRPr="00FA5898" w:rsidRDefault="00D27759" w:rsidP="00CE26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5" w:type="dxa"/>
          </w:tcPr>
          <w:p w:rsidR="00D27759" w:rsidRPr="00FA5898" w:rsidRDefault="00D27759" w:rsidP="00CE263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В описательной части Проекта (Приложения 2 и 3) отсутствуют конкретные указания на виды заложенных рисков в социально-экономическом развитии городского округа Сургута. Можно предположить (на основании динамики показателей в приложении 1), что при составлении прогнозных показателей раздела 1 «Население», были учтены риски старения населения, постепенного снижения рождаемости, изменения возрастных групп населения. Однако следует обратить внимание на прогнозные показатели миграционных процессов: в 2025 году уменьшены более чем в 10 раз по сравнению с отчетом за 2023 год, а в 2027 году происходит резкий рост данного показателя. Возможно, не учтены риски внутренних миграционных потоков</w:t>
            </w:r>
          </w:p>
        </w:tc>
        <w:tc>
          <w:tcPr>
            <w:tcW w:w="4724" w:type="dxa"/>
          </w:tcPr>
          <w:p w:rsidR="00D27759" w:rsidRPr="00FA5898" w:rsidRDefault="00D27759" w:rsidP="00CE2635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Принимается.</w:t>
            </w:r>
          </w:p>
          <w:p w:rsidR="00D27759" w:rsidRPr="00FA5898" w:rsidRDefault="00CC4FEE" w:rsidP="00CE2635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 проекта</w:t>
            </w:r>
            <w:r w:rsidR="00D27759" w:rsidRPr="00FA5898">
              <w:rPr>
                <w:rFonts w:ascii="Times New Roman" w:hAnsi="Times New Roman" w:cs="Times New Roman"/>
              </w:rPr>
              <w:t xml:space="preserve"> дополнено описанием основных тенденций, предпосылок сценариев прогноза.</w:t>
            </w:r>
          </w:p>
          <w:p w:rsidR="00D27759" w:rsidRPr="00FA5898" w:rsidRDefault="003B06F6" w:rsidP="003B06F6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 значений</w:t>
            </w:r>
            <w:r w:rsidR="00D27759" w:rsidRPr="00FA5898">
              <w:rPr>
                <w:rFonts w:ascii="Times New Roman" w:hAnsi="Times New Roman" w:cs="Times New Roman"/>
              </w:rPr>
              <w:t xml:space="preserve"> показателей, характеризующих миграционные процессы, </w:t>
            </w:r>
            <w:r>
              <w:rPr>
                <w:rFonts w:ascii="Times New Roman" w:hAnsi="Times New Roman" w:cs="Times New Roman"/>
              </w:rPr>
              <w:t>то</w:t>
            </w:r>
            <w:r w:rsidR="00D27759" w:rsidRPr="00FA5898">
              <w:rPr>
                <w:rFonts w:ascii="Times New Roman" w:hAnsi="Times New Roman" w:cs="Times New Roman"/>
              </w:rPr>
              <w:t xml:space="preserve">, с одной стороны, </w:t>
            </w:r>
            <w:r>
              <w:rPr>
                <w:rFonts w:ascii="Times New Roman" w:hAnsi="Times New Roman" w:cs="Times New Roman"/>
              </w:rPr>
              <w:t xml:space="preserve">они учитывают </w:t>
            </w:r>
            <w:r w:rsidR="00D27759" w:rsidRPr="00FA5898">
              <w:rPr>
                <w:rFonts w:ascii="Times New Roman" w:hAnsi="Times New Roman" w:cs="Times New Roman"/>
              </w:rPr>
              <w:t xml:space="preserve">влияние изменений в миграционном законодательстве, с другой стороны, влияние  внутренних факторов, обуславливающих динамику потребности в трудовой миграции </w:t>
            </w:r>
          </w:p>
        </w:tc>
      </w:tr>
      <w:tr w:rsidR="00FA5898" w:rsidRPr="00FA5898" w:rsidTr="00D27759">
        <w:tc>
          <w:tcPr>
            <w:tcW w:w="752" w:type="dxa"/>
            <w:vMerge/>
          </w:tcPr>
          <w:p w:rsidR="00D27759" w:rsidRPr="00FA5898" w:rsidRDefault="00D27759" w:rsidP="00A80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D27759" w:rsidRPr="00FA5898" w:rsidRDefault="00D27759" w:rsidP="00A804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Merge/>
          </w:tcPr>
          <w:p w:rsidR="00D27759" w:rsidRPr="00FA5898" w:rsidRDefault="00D27759" w:rsidP="00A804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D27759" w:rsidRPr="00FA5898" w:rsidRDefault="00D27759" w:rsidP="00A804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5" w:type="dxa"/>
          </w:tcPr>
          <w:p w:rsidR="00D27759" w:rsidRPr="00FA5898" w:rsidRDefault="00D27759" w:rsidP="00A804B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В разделе 8 приложения 1 Проекта показатель «Оборот розничной торговли в ценах соответствующих лет по крупным и средним организациям» имеет прирост менее 4%, что не соответствует динамике предшествующих лет (возможно, не учтены </w:t>
            </w:r>
            <w:r w:rsidRPr="00FA5898">
              <w:rPr>
                <w:rFonts w:ascii="Times New Roman" w:hAnsi="Times New Roman" w:cs="Times New Roman"/>
              </w:rPr>
              <w:lastRenderedPageBreak/>
              <w:t>показатели роста объемов онлайн продаж). Обозначенная малая динамика роста оборота торговли в данном случае косвенно может свидетельствовать о сокращении темпов развития торговых сетей и онлайн продаж, что не соответствует действительности.</w:t>
            </w:r>
          </w:p>
          <w:p w:rsidR="00D27759" w:rsidRPr="00FA5898" w:rsidRDefault="00D27759" w:rsidP="00A804BD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В разделе 10 приложения 1 Проекта динамика прогнозного показателя «Общего объема инвестиций в основной капитал по источникам финансирования» за счет бюджетных средств имеет существенный разрыв в базовом и консервативном сценариях за 2025 и 2026 годы, а в 2027 году такого разрыва не отмечается</w:t>
            </w:r>
          </w:p>
        </w:tc>
        <w:tc>
          <w:tcPr>
            <w:tcW w:w="4724" w:type="dxa"/>
          </w:tcPr>
          <w:p w:rsidR="00D27759" w:rsidRPr="00FA5898" w:rsidRDefault="00D27759" w:rsidP="00A804BD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lastRenderedPageBreak/>
              <w:t>Отклоняется.</w:t>
            </w:r>
          </w:p>
          <w:p w:rsidR="0074594A" w:rsidRDefault="00D27759" w:rsidP="00A804BD">
            <w:pPr>
              <w:spacing w:after="0" w:line="240" w:lineRule="auto"/>
              <w:ind w:firstLine="363"/>
              <w:jc w:val="both"/>
              <w:rPr>
                <w:rStyle w:val="a8"/>
                <w:rFonts w:ascii="Times New Roman" w:eastAsiaTheme="majorEastAsia" w:hAnsi="Times New Roman"/>
                <w:color w:val="auto"/>
              </w:rPr>
            </w:pPr>
            <w:r w:rsidRPr="00FA5898">
              <w:rPr>
                <w:rFonts w:ascii="Times New Roman" w:hAnsi="Times New Roman" w:cs="Times New Roman"/>
              </w:rPr>
              <w:t xml:space="preserve">Динамика оборота розничной торговли на среднесрочный период соответствует по данному показателю </w:t>
            </w:r>
            <w:r w:rsidRPr="00FA5898">
              <w:rPr>
                <w:rStyle w:val="a8"/>
                <w:rFonts w:ascii="Times New Roman" w:eastAsiaTheme="majorEastAsia" w:hAnsi="Times New Roman"/>
                <w:color w:val="auto"/>
              </w:rPr>
              <w:t>основным параметрам</w:t>
            </w:r>
            <w:r w:rsidR="004F48EC">
              <w:rPr>
                <w:rStyle w:val="a8"/>
                <w:rFonts w:ascii="Times New Roman" w:eastAsiaTheme="majorEastAsia" w:hAnsi="Times New Roman"/>
                <w:color w:val="auto"/>
              </w:rPr>
              <w:t xml:space="preserve"> </w:t>
            </w:r>
            <w:r w:rsidR="004F48EC" w:rsidRPr="004F48EC">
              <w:rPr>
                <w:rFonts w:ascii="Times New Roman" w:hAnsi="Times New Roman" w:cs="Times New Roman"/>
              </w:rPr>
              <w:t xml:space="preserve">прогноза социально-экономического развития </w:t>
            </w:r>
            <w:r w:rsidR="004F48EC">
              <w:rPr>
                <w:rFonts w:ascii="Times New Roman" w:hAnsi="Times New Roman" w:cs="Times New Roman"/>
              </w:rPr>
              <w:t>н</w:t>
            </w:r>
            <w:r w:rsidR="004F48EC" w:rsidRPr="004F48EC">
              <w:rPr>
                <w:rFonts w:ascii="Times New Roman" w:hAnsi="Times New Roman" w:cs="Times New Roman"/>
              </w:rPr>
              <w:t>а среднесрочны</w:t>
            </w:r>
            <w:r w:rsidR="004F48EC">
              <w:rPr>
                <w:rFonts w:ascii="Times New Roman" w:hAnsi="Times New Roman" w:cs="Times New Roman"/>
              </w:rPr>
              <w:t>й</w:t>
            </w:r>
            <w:r w:rsidR="004F48EC" w:rsidRPr="004F48EC">
              <w:rPr>
                <w:rFonts w:ascii="Times New Roman" w:hAnsi="Times New Roman" w:cs="Times New Roman"/>
              </w:rPr>
              <w:t xml:space="preserve"> период</w:t>
            </w:r>
            <w:r w:rsidR="0074594A">
              <w:rPr>
                <w:rStyle w:val="a8"/>
                <w:rFonts w:ascii="Times New Roman" w:eastAsiaTheme="majorEastAsia" w:hAnsi="Times New Roman"/>
                <w:color w:val="auto"/>
              </w:rPr>
              <w:t>:</w:t>
            </w:r>
          </w:p>
          <w:p w:rsidR="0074594A" w:rsidRPr="00185579" w:rsidRDefault="0074594A" w:rsidP="00A804BD">
            <w:pPr>
              <w:spacing w:after="0" w:line="240" w:lineRule="auto"/>
              <w:ind w:firstLine="363"/>
              <w:jc w:val="both"/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</w:pPr>
            <w:r w:rsidRPr="00185579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lastRenderedPageBreak/>
              <w:t>-</w:t>
            </w:r>
            <w:r w:rsidR="00D27759" w:rsidRPr="00185579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 xml:space="preserve"> </w:t>
            </w:r>
            <w:r w:rsidR="003B06F6" w:rsidRPr="00CC4FEE">
              <w:rPr>
                <w:rStyle w:val="a8"/>
                <w:rFonts w:ascii="Times New Roman" w:eastAsiaTheme="majorEastAsia" w:hAnsi="Times New Roman"/>
                <w:color w:val="auto"/>
              </w:rPr>
              <w:t>Российской</w:t>
            </w:r>
            <w:r w:rsidR="003B06F6" w:rsidRPr="00185579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 xml:space="preserve"> </w:t>
            </w:r>
            <w:r w:rsidR="003B06F6" w:rsidRPr="00CC4FEE">
              <w:rPr>
                <w:rStyle w:val="a8"/>
                <w:rFonts w:ascii="Times New Roman" w:eastAsiaTheme="majorEastAsia" w:hAnsi="Times New Roman"/>
                <w:color w:val="auto"/>
              </w:rPr>
              <w:t>Федерации</w:t>
            </w:r>
            <w:r w:rsidRPr="00185579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>:</w:t>
            </w:r>
          </w:p>
          <w:p w:rsidR="00450F14" w:rsidRPr="00CC4FEE" w:rsidRDefault="00450F14" w:rsidP="004F48EC">
            <w:pPr>
              <w:spacing w:after="0" w:line="240" w:lineRule="auto"/>
              <w:jc w:val="both"/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</w:pPr>
            <w:r w:rsidRPr="00CC4FEE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>https://www.economy.gov.ru/  material/directions/</w:t>
            </w:r>
            <w:proofErr w:type="spellStart"/>
            <w:r w:rsidRPr="00CC4FEE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>makroec</w:t>
            </w:r>
            <w:proofErr w:type="spellEnd"/>
            <w:r w:rsidRPr="00CC4FEE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 xml:space="preserve">/ </w:t>
            </w:r>
            <w:proofErr w:type="spellStart"/>
            <w:r w:rsidRPr="00CC4FEE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>prognozy</w:t>
            </w:r>
            <w:proofErr w:type="spellEnd"/>
            <w:r w:rsidRPr="00CC4FEE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>_</w:t>
            </w:r>
          </w:p>
          <w:p w:rsidR="00450F14" w:rsidRPr="00CC4FEE" w:rsidRDefault="00450F14" w:rsidP="004F48EC">
            <w:pPr>
              <w:spacing w:after="0" w:line="240" w:lineRule="auto"/>
              <w:jc w:val="both"/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</w:pPr>
            <w:proofErr w:type="spellStart"/>
            <w:r w:rsidRPr="00CC4FEE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>socialno</w:t>
            </w:r>
            <w:proofErr w:type="spellEnd"/>
            <w:r w:rsidRPr="00CC4FEE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 xml:space="preserve">_ </w:t>
            </w:r>
            <w:proofErr w:type="spellStart"/>
            <w:r w:rsidRPr="00CC4FEE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>ekonomicheskogo_razvitiya</w:t>
            </w:r>
            <w:proofErr w:type="spellEnd"/>
            <w:r w:rsidRPr="00CC4FEE">
              <w:rPr>
                <w:rStyle w:val="a8"/>
                <w:rFonts w:ascii="Times New Roman" w:eastAsiaTheme="majorEastAsia" w:hAnsi="Times New Roman"/>
                <w:color w:val="auto"/>
                <w:lang w:val="en-US"/>
              </w:rPr>
              <w:t>/;</w:t>
            </w:r>
          </w:p>
          <w:p w:rsidR="00D27759" w:rsidRPr="00CC4FEE" w:rsidRDefault="00450F14" w:rsidP="00A804BD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4FEE">
              <w:rPr>
                <w:rFonts w:ascii="Times New Roman" w:hAnsi="Times New Roman" w:cs="Times New Roman"/>
                <w:lang w:val="en-US"/>
              </w:rPr>
              <w:t>-</w:t>
            </w:r>
            <w:r w:rsidR="00D27759" w:rsidRPr="00CC4F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27759" w:rsidRPr="00CC4FEE">
              <w:rPr>
                <w:rFonts w:ascii="Times New Roman" w:hAnsi="Times New Roman" w:cs="Times New Roman"/>
              </w:rPr>
              <w:t>Ханты</w:t>
            </w:r>
            <w:r w:rsidR="00D27759" w:rsidRPr="00CC4FEE">
              <w:rPr>
                <w:rFonts w:ascii="Times New Roman" w:hAnsi="Times New Roman" w:cs="Times New Roman"/>
                <w:lang w:val="en-US"/>
              </w:rPr>
              <w:t>-</w:t>
            </w:r>
            <w:r w:rsidR="00D27759" w:rsidRPr="00CC4FEE">
              <w:rPr>
                <w:rFonts w:ascii="Times New Roman" w:hAnsi="Times New Roman" w:cs="Times New Roman"/>
              </w:rPr>
              <w:t>Мансийского</w:t>
            </w:r>
            <w:r w:rsidR="00D27759" w:rsidRPr="00CC4F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27759" w:rsidRPr="00CC4FEE">
              <w:rPr>
                <w:rFonts w:ascii="Times New Roman" w:hAnsi="Times New Roman" w:cs="Times New Roman"/>
              </w:rPr>
              <w:t>автономног</w:t>
            </w:r>
            <w:r w:rsidR="004F48EC" w:rsidRPr="00CC4FEE">
              <w:rPr>
                <w:rFonts w:ascii="Times New Roman" w:hAnsi="Times New Roman" w:cs="Times New Roman"/>
              </w:rPr>
              <w:t>о</w:t>
            </w:r>
            <w:r w:rsidR="004F48EC" w:rsidRPr="00CC4F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F48EC" w:rsidRPr="00CC4FEE">
              <w:rPr>
                <w:rFonts w:ascii="Times New Roman" w:hAnsi="Times New Roman" w:cs="Times New Roman"/>
              </w:rPr>
              <w:t>округа</w:t>
            </w:r>
            <w:r w:rsidR="004F48EC" w:rsidRPr="00CC4FEE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4F48EC" w:rsidRPr="00CC4FEE">
              <w:rPr>
                <w:rFonts w:ascii="Times New Roman" w:hAnsi="Times New Roman" w:cs="Times New Roman"/>
              </w:rPr>
              <w:t>Югры</w:t>
            </w:r>
            <w:r w:rsidRPr="00CC4FEE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4F48EC" w:rsidRPr="00284C73" w:rsidRDefault="00201490" w:rsidP="004F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F48EC" w:rsidRPr="00CC4FEE">
                <w:rPr>
                  <w:rStyle w:val="a6"/>
                  <w:rFonts w:ascii="Times New Roman" w:hAnsi="Times New Roman" w:cs="Times New Roman"/>
                  <w:lang w:val="en-US"/>
                </w:rPr>
                <w:t>https://admhmao.ru/dokumenty/vse-dokumenty/rasporyazheniya-pravitelstva/</w:t>
              </w:r>
            </w:hyperlink>
          </w:p>
          <w:p w:rsidR="00D27759" w:rsidRPr="00FA5898" w:rsidRDefault="00D27759" w:rsidP="00791B26">
            <w:pPr>
              <w:spacing w:after="0" w:line="240" w:lineRule="auto"/>
              <w:ind w:firstLine="359"/>
              <w:jc w:val="both"/>
              <w:rPr>
                <w:rFonts w:ascii="Times New Roman" w:hAnsi="Times New Roman" w:cs="Times New Roman"/>
              </w:rPr>
            </w:pPr>
            <w:r w:rsidRPr="004F48EC">
              <w:rPr>
                <w:rFonts w:ascii="Times New Roman" w:hAnsi="Times New Roman" w:cs="Times New Roman"/>
              </w:rPr>
              <w:t>Значения показателя за 2023 и 2024 годы учитывают, с одной стороны, ограничения, обусловленные перестройкой производственно-логистических цепочек, с другой</w:t>
            </w:r>
            <w:r w:rsidRPr="00FA5898">
              <w:rPr>
                <w:rFonts w:ascii="Times New Roman" w:hAnsi="Times New Roman" w:cs="Times New Roman"/>
              </w:rPr>
              <w:t xml:space="preserve"> стороны, восстанов</w:t>
            </w:r>
            <w:r w:rsidR="00010096">
              <w:rPr>
                <w:rFonts w:ascii="Times New Roman" w:hAnsi="Times New Roman" w:cs="Times New Roman"/>
              </w:rPr>
              <w:t>ительный</w:t>
            </w:r>
            <w:r w:rsidRPr="00FA5898">
              <w:rPr>
                <w:rFonts w:ascii="Times New Roman" w:hAnsi="Times New Roman" w:cs="Times New Roman"/>
              </w:rPr>
              <w:t xml:space="preserve"> потребительск</w:t>
            </w:r>
            <w:r w:rsidR="00010096">
              <w:rPr>
                <w:rFonts w:ascii="Times New Roman" w:hAnsi="Times New Roman" w:cs="Times New Roman"/>
              </w:rPr>
              <w:t>ий</w:t>
            </w:r>
            <w:r w:rsidRPr="00FA5898">
              <w:rPr>
                <w:rFonts w:ascii="Times New Roman" w:hAnsi="Times New Roman" w:cs="Times New Roman"/>
              </w:rPr>
              <w:t xml:space="preserve"> спрос на фоне роста покупательной способности доходов населения и изменения потребительского поведения.</w:t>
            </w:r>
          </w:p>
          <w:p w:rsidR="00D27759" w:rsidRPr="00FA5898" w:rsidRDefault="00D27759" w:rsidP="00791B26">
            <w:pPr>
              <w:spacing w:after="0" w:line="240" w:lineRule="auto"/>
              <w:ind w:firstLine="35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Значения показателя, отражающего объем инвестиций за счет бюджетных средств, учитывают объемы, запланированные на инвестиционные нужды в соответствии с утвержденными бюджетами округа и города  </w:t>
            </w:r>
          </w:p>
        </w:tc>
      </w:tr>
      <w:tr w:rsidR="00FA5898" w:rsidRPr="00FA5898" w:rsidTr="00201490">
        <w:trPr>
          <w:trHeight w:val="556"/>
        </w:trPr>
        <w:tc>
          <w:tcPr>
            <w:tcW w:w="752" w:type="dxa"/>
            <w:vMerge w:val="restart"/>
          </w:tcPr>
          <w:p w:rsidR="00FA5898" w:rsidRPr="00FA5898" w:rsidRDefault="00FA5898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60" w:type="dxa"/>
            <w:vMerge w:val="restart"/>
          </w:tcPr>
          <w:p w:rsidR="00FA5898" w:rsidRPr="00FA5898" w:rsidRDefault="00FA5898" w:rsidP="00D6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2032" w:type="dxa"/>
            <w:vMerge w:val="restart"/>
          </w:tcPr>
          <w:p w:rsidR="00FA5898" w:rsidRPr="00FA5898" w:rsidRDefault="00FA5898" w:rsidP="00D66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Бюджетное учреждение высшего образования Ханты-Мансийского автономного округа - Югры «Сургутский государственный университет»</w:t>
            </w:r>
          </w:p>
        </w:tc>
        <w:tc>
          <w:tcPr>
            <w:tcW w:w="1460" w:type="dxa"/>
          </w:tcPr>
          <w:p w:rsidR="00FA5898" w:rsidRPr="00FA5898" w:rsidRDefault="00FA5898" w:rsidP="00116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35" w:type="dxa"/>
          </w:tcPr>
          <w:p w:rsidR="00201490" w:rsidRPr="00FA5898" w:rsidRDefault="00FA5898" w:rsidP="00201490">
            <w:pPr>
              <w:spacing w:before="12" w:line="237" w:lineRule="auto"/>
              <w:ind w:left="-23" w:right="107" w:firstLine="567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Однако, следует заметить, что в проекте не отмечается роль городского округа Сургут в достижении таких показателей национальной цели «Устойчивая и динамичная экономика», как реальный рост экспорта </w:t>
            </w:r>
            <w:proofErr w:type="spellStart"/>
            <w:r w:rsidRPr="00FA5898">
              <w:rPr>
                <w:rFonts w:ascii="Times New Roman" w:hAnsi="Times New Roman" w:cs="Times New Roman"/>
              </w:rPr>
              <w:t>несырьевых</w:t>
            </w:r>
            <w:proofErr w:type="spellEnd"/>
            <w:r w:rsidRPr="00FA589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неэнергетических товаров и рост производства продукции агропром</w:t>
            </w:r>
            <w:r w:rsidR="003B06F6">
              <w:rPr>
                <w:rFonts w:ascii="Times New Roman" w:hAnsi="Times New Roman" w:cs="Times New Roman"/>
              </w:rPr>
              <w:t xml:space="preserve">ышленного комплекса. В то </w:t>
            </w:r>
            <w:proofErr w:type="spellStart"/>
            <w:r w:rsidR="003B06F6">
              <w:rPr>
                <w:rFonts w:ascii="Times New Roman" w:hAnsi="Times New Roman" w:cs="Times New Roman"/>
              </w:rPr>
              <w:t>вpeмя</w:t>
            </w:r>
            <w:proofErr w:type="spellEnd"/>
            <w:r w:rsidRPr="00FA5898">
              <w:rPr>
                <w:rFonts w:ascii="Times New Roman" w:hAnsi="Times New Roman" w:cs="Times New Roman"/>
              </w:rPr>
              <w:t xml:space="preserve"> как указанные меры являются важным вкладом в формирование экономики предложения Ханты-Мансийского автономного округа </w:t>
            </w:r>
            <w:r w:rsidRPr="00FA5898">
              <w:rPr>
                <w:rFonts w:ascii="Times New Roman" w:hAnsi="Times New Roman" w:cs="Times New Roman"/>
                <w:w w:val="90"/>
              </w:rPr>
              <w:t xml:space="preserve">— </w:t>
            </w:r>
            <w:r w:rsidRPr="00FA5898">
              <w:rPr>
                <w:rFonts w:ascii="Times New Roman" w:hAnsi="Times New Roman" w:cs="Times New Roman"/>
              </w:rPr>
              <w:t>Югры и Российской</w:t>
            </w:r>
            <w:r w:rsidRPr="00FA589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4724" w:type="dxa"/>
          </w:tcPr>
          <w:p w:rsidR="00FA5898" w:rsidRPr="00FA5898" w:rsidRDefault="00FA5898" w:rsidP="003E1535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Отклоняется.</w:t>
            </w:r>
          </w:p>
          <w:p w:rsidR="00FA5898" w:rsidRPr="00FA5898" w:rsidRDefault="00FA5898" w:rsidP="003E1535">
            <w:pPr>
              <w:spacing w:after="0" w:line="240" w:lineRule="auto"/>
              <w:ind w:firstLine="393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Прогнозирование значений показателей, характеризующих экспорт, не представляется возможным в связи с полным отсутствием официальной статистической информации по данной сфере в разрезе муниципальных образований.</w:t>
            </w:r>
          </w:p>
          <w:p w:rsidR="00FA5898" w:rsidRPr="00FA5898" w:rsidRDefault="00FA5898" w:rsidP="003E1535">
            <w:pPr>
              <w:spacing w:after="0" w:line="240" w:lineRule="auto"/>
              <w:ind w:firstLine="393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Показатели, характеризующие развитие АПК, не отражены в проекте, так как на территории муниципального образования отсутствуют сельскохозяйственные предприятия (отражается продукция личных подсобных хозяйств)</w:t>
            </w:r>
          </w:p>
        </w:tc>
      </w:tr>
      <w:tr w:rsidR="00FA5898" w:rsidRPr="00FA5898" w:rsidTr="00D27759">
        <w:tc>
          <w:tcPr>
            <w:tcW w:w="752" w:type="dxa"/>
            <w:vMerge/>
          </w:tcPr>
          <w:p w:rsidR="00FA5898" w:rsidRPr="00FA5898" w:rsidRDefault="00FA5898" w:rsidP="000713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FA5898" w:rsidRPr="00FA5898" w:rsidRDefault="00FA5898" w:rsidP="002860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Merge/>
          </w:tcPr>
          <w:p w:rsidR="00FA5898" w:rsidRPr="00FA5898" w:rsidRDefault="00FA5898" w:rsidP="002860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FA5898" w:rsidRPr="00FA5898" w:rsidRDefault="00FA5898" w:rsidP="002860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5" w:type="dxa"/>
          </w:tcPr>
          <w:p w:rsidR="00FA5898" w:rsidRPr="00FA5898" w:rsidRDefault="00FA5898" w:rsidP="0028609A">
            <w:pPr>
              <w:pStyle w:val="ab"/>
              <w:ind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5898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В рамках ознакомления с проектом прогноза выявлено несколько групп </w:t>
            </w:r>
            <w:r w:rsidRPr="00FA5898">
              <w:rPr>
                <w:rFonts w:ascii="Times New Roman" w:hAnsi="Times New Roman" w:cs="Times New Roman"/>
                <w:w w:val="105"/>
                <w:sz w:val="22"/>
                <w:szCs w:val="22"/>
              </w:rPr>
              <w:lastRenderedPageBreak/>
              <w:t>показателей,</w:t>
            </w:r>
            <w:r w:rsidRPr="00FA5898">
              <w:rPr>
                <w:rFonts w:ascii="Times New Roman" w:hAnsi="Times New Roman" w:cs="Times New Roman"/>
                <w:spacing w:val="28"/>
                <w:w w:val="105"/>
                <w:sz w:val="22"/>
                <w:szCs w:val="22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  <w:sz w:val="22"/>
                <w:szCs w:val="22"/>
              </w:rPr>
              <w:t>по котором считаем необходимым представить ряд комментариев.</w:t>
            </w:r>
          </w:p>
          <w:p w:rsidR="00FA5898" w:rsidRPr="00FA5898" w:rsidRDefault="00FA5898" w:rsidP="0028609A">
            <w:pPr>
              <w:spacing w:after="0" w:line="240" w:lineRule="auto"/>
              <w:ind w:firstLine="402"/>
              <w:contextualSpacing/>
              <w:jc w:val="both"/>
              <w:rPr>
                <w:rFonts w:ascii="Times New Roman" w:hAnsi="Times New Roman" w:cs="Times New Roman"/>
                <w:spacing w:val="-2"/>
              </w:rPr>
            </w:pPr>
            <w:r w:rsidRPr="00FA5898">
              <w:rPr>
                <w:rFonts w:ascii="Times New Roman" w:hAnsi="Times New Roman" w:cs="Times New Roman"/>
                <w:w w:val="105"/>
              </w:rPr>
              <w:t>Показатели миграционного прироста в 2023 году равны 10 тыс. чел., а по оценкам на 2024 год данный показатель будет равен 4,8 тыс. чел. При этом отмечается резкое снижение показатели в 2025 и 2026 годах (0,9 и 1,1</w:t>
            </w:r>
            <w:r w:rsidRPr="00FA5898">
              <w:rPr>
                <w:rFonts w:ascii="Times New Roman" w:hAnsi="Times New Roman" w:cs="Times New Roman"/>
                <w:spacing w:val="40"/>
                <w:w w:val="105"/>
              </w:rPr>
              <w:t xml:space="preserve"> по</w:t>
            </w:r>
            <w:r w:rsidRPr="00FA5898">
              <w:rPr>
                <w:rFonts w:ascii="Times New Roman" w:hAnsi="Times New Roman" w:cs="Times New Roman"/>
                <w:w w:val="105"/>
              </w:rPr>
              <w:t xml:space="preserve"> базовому сценарию по годам соответственно). Высокий уровень волатильности данного показателя</w:t>
            </w:r>
            <w:r w:rsidRPr="00FA589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</w:rPr>
              <w:t>может</w:t>
            </w:r>
            <w:r w:rsidRPr="00FA589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</w:rPr>
              <w:t>отрицательно</w:t>
            </w:r>
            <w:r w:rsidRPr="00FA5898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</w:rPr>
              <w:t>сказаться</w:t>
            </w:r>
            <w:r w:rsidRPr="00FA589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</w:rPr>
              <w:t>на</w:t>
            </w:r>
            <w:r w:rsidRPr="00FA5898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</w:rPr>
              <w:t>численности</w:t>
            </w:r>
            <w:r w:rsidRPr="00FA5898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</w:rPr>
              <w:t>занятых</w:t>
            </w:r>
            <w:r w:rsidRPr="00FA5898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</w:rPr>
              <w:t>по</w:t>
            </w:r>
            <w:r w:rsidRPr="00FA5898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</w:rPr>
              <w:t>отраслям</w:t>
            </w:r>
            <w:r w:rsidRPr="00FA5898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FA5898">
              <w:rPr>
                <w:rFonts w:ascii="Times New Roman" w:hAnsi="Times New Roman" w:cs="Times New Roman"/>
              </w:rPr>
              <w:t xml:space="preserve">секторам экономики, а также свидетельствует о снижении миграционной </w:t>
            </w:r>
            <w:r w:rsidRPr="00FA5898">
              <w:rPr>
                <w:rFonts w:ascii="Times New Roman" w:hAnsi="Times New Roman" w:cs="Times New Roman"/>
                <w:w w:val="90"/>
              </w:rPr>
              <w:t xml:space="preserve">привлекательности города. Снижение показателя миграционного прироста может </w:t>
            </w:r>
            <w:r w:rsidRPr="00FA5898">
              <w:rPr>
                <w:rFonts w:ascii="Times New Roman" w:hAnsi="Times New Roman" w:cs="Times New Roman"/>
                <w:spacing w:val="-8"/>
              </w:rPr>
              <w:t>быть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обусловлено</w:t>
            </w:r>
            <w:r w:rsidRPr="00FA589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факторами, не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зависящими</w:t>
            </w:r>
            <w:r w:rsidRPr="00FA589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от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муниципального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 xml:space="preserve">образования </w:t>
            </w:r>
            <w:r w:rsidRPr="00FA5898">
              <w:rPr>
                <w:rFonts w:ascii="Times New Roman" w:hAnsi="Times New Roman" w:cs="Times New Roman"/>
              </w:rPr>
              <w:t xml:space="preserve">(более строгие правила пребывания, сложность оформления документации, </w:t>
            </w:r>
            <w:r w:rsidRPr="00FA5898">
              <w:rPr>
                <w:rFonts w:ascii="Times New Roman" w:hAnsi="Times New Roman" w:cs="Times New Roman"/>
                <w:spacing w:val="-2"/>
              </w:rPr>
              <w:t>допускающей мигрантов к</w:t>
            </w:r>
            <w:r w:rsidRPr="00FA589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осуществлению</w:t>
            </w:r>
            <w:r w:rsidRPr="00FA5898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рабочей</w:t>
            </w:r>
            <w:r w:rsidRPr="00FA58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деятельности).</w:t>
            </w:r>
          </w:p>
          <w:p w:rsidR="00FA5898" w:rsidRPr="00FA5898" w:rsidRDefault="00FA5898" w:rsidP="0028609A">
            <w:pPr>
              <w:spacing w:after="0" w:line="240" w:lineRule="auto"/>
              <w:ind w:firstLine="402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FA5898">
              <w:rPr>
                <w:rFonts w:ascii="Times New Roman" w:hAnsi="Times New Roman" w:cs="Times New Roman"/>
              </w:rPr>
              <w:t>В</w:t>
            </w:r>
            <w:r w:rsidRPr="00FA589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разделе 3</w:t>
            </w:r>
            <w:r w:rsidRPr="00FA589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«Труд и</w:t>
            </w:r>
            <w:r w:rsidRPr="00FA589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 xml:space="preserve">занятость» показатели «Среднегодовая численность </w:t>
            </w:r>
            <w:r w:rsidRPr="00FA5898">
              <w:rPr>
                <w:rFonts w:ascii="Times New Roman" w:hAnsi="Times New Roman" w:cs="Times New Roman"/>
                <w:w w:val="90"/>
              </w:rPr>
              <w:t>экономически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 xml:space="preserve">активного населения (рабочей силы)» и «Среднегодовая численность </w:t>
            </w:r>
            <w:r w:rsidRPr="00FA5898">
              <w:rPr>
                <w:rFonts w:ascii="Times New Roman" w:hAnsi="Times New Roman" w:cs="Times New Roman"/>
              </w:rPr>
              <w:t>занятых в экономике на территории города» показывают качественную положительную</w:t>
            </w:r>
            <w:r w:rsidRPr="00FA5898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динамику,</w:t>
            </w:r>
            <w:r w:rsidRPr="00FA589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при</w:t>
            </w:r>
            <w:r w:rsidRPr="00FA589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этом</w:t>
            </w:r>
            <w:r w:rsidRPr="00FA589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показатель</w:t>
            </w:r>
            <w:r w:rsidRPr="00FA589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 xml:space="preserve">«Среднесписочная численность работников крупных и средних организаций» и «Среднегодовая численность занятых в организациях муниципальной формы собственности» (раздел 4.1. Муниципальный сектор экономики) в период с 2024 по 2027 год практически неизменны, что свидетельствует о развитии малого и </w:t>
            </w:r>
            <w:r w:rsidRPr="00FA5898">
              <w:rPr>
                <w:rFonts w:ascii="Times New Roman" w:hAnsi="Times New Roman" w:cs="Times New Roman"/>
              </w:rPr>
              <w:lastRenderedPageBreak/>
              <w:t xml:space="preserve">среднего </w:t>
            </w:r>
            <w:r w:rsidRPr="00FA5898">
              <w:rPr>
                <w:rFonts w:ascii="Times New Roman" w:hAnsi="Times New Roman" w:cs="Times New Roman"/>
                <w:spacing w:val="-4"/>
              </w:rPr>
              <w:t>предпринимательства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и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иных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секторов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экономики.</w:t>
            </w:r>
          </w:p>
          <w:p w:rsidR="00FA5898" w:rsidRPr="00FA5898" w:rsidRDefault="00FA5898" w:rsidP="0028609A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 xml:space="preserve">Показатели средней заработной платы (раздел Целевые показатели, </w:t>
            </w:r>
            <w:r w:rsidRPr="00FA5898">
              <w:rPr>
                <w:rFonts w:ascii="Times New Roman" w:hAnsi="Times New Roman" w:cs="Times New Roman"/>
                <w:spacing w:val="-10"/>
              </w:rPr>
              <w:t>установленные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10"/>
              </w:rPr>
              <w:t>нормативными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10"/>
              </w:rPr>
              <w:t>правовыми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10"/>
              </w:rPr>
              <w:t>актами</w:t>
            </w:r>
            <w:r w:rsidRPr="00FA589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10"/>
              </w:rPr>
              <w:t>Российской</w:t>
            </w:r>
            <w:r w:rsidRPr="00FA589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10"/>
              </w:rPr>
              <w:t>Федерации</w:t>
            </w:r>
            <w:r w:rsidRPr="00FA5898">
              <w:rPr>
                <w:rFonts w:ascii="Times New Roman" w:hAnsi="Times New Roman" w:cs="Times New Roman"/>
                <w:i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10"/>
              </w:rPr>
              <w:t xml:space="preserve">(указами </w:t>
            </w:r>
            <w:r w:rsidRPr="00FA5898">
              <w:rPr>
                <w:rFonts w:ascii="Times New Roman" w:hAnsi="Times New Roman" w:cs="Times New Roman"/>
                <w:w w:val="90"/>
              </w:rPr>
              <w:t>Президента Российской Федерации) неизменны на протяжении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 xml:space="preserve">2025, 2026 и 2027 </w:t>
            </w:r>
            <w:proofErr w:type="spellStart"/>
            <w:r w:rsidRPr="00FA5898">
              <w:rPr>
                <w:rFonts w:ascii="Times New Roman" w:hAnsi="Times New Roman" w:cs="Times New Roman"/>
                <w:w w:val="90"/>
              </w:rPr>
              <w:t>rодов</w:t>
            </w:r>
            <w:proofErr w:type="spellEnd"/>
            <w:r w:rsidRPr="00FA5898">
              <w:rPr>
                <w:rFonts w:ascii="Times New Roman" w:hAnsi="Times New Roman" w:cs="Times New Roman"/>
                <w:w w:val="90"/>
              </w:rPr>
              <w:t xml:space="preserve">. </w:t>
            </w:r>
            <w:r w:rsidRPr="00FA5898">
              <w:rPr>
                <w:rFonts w:ascii="Times New Roman" w:hAnsi="Times New Roman" w:cs="Times New Roman"/>
                <w:spacing w:val="-8"/>
              </w:rPr>
              <w:t>При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этом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отмечается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рост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индекса</w:t>
            </w:r>
            <w:r w:rsidRPr="00FA589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цен.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Вероятно,</w:t>
            </w:r>
            <w:r w:rsidRPr="00FA589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необходимо</w:t>
            </w:r>
            <w:r w:rsidRPr="00FA58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учесть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 xml:space="preserve">условия для </w:t>
            </w:r>
            <w:r w:rsidRPr="00FA5898">
              <w:rPr>
                <w:rFonts w:ascii="Times New Roman" w:hAnsi="Times New Roman" w:cs="Times New Roman"/>
                <w:w w:val="90"/>
              </w:rPr>
              <w:t>синхронизации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>средних заработных плат и повышения цен по секторам.</w:t>
            </w:r>
          </w:p>
          <w:p w:rsidR="00FA5898" w:rsidRPr="00FA5898" w:rsidRDefault="00FA5898" w:rsidP="0028609A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  <w:spacing w:val="-8"/>
              </w:rPr>
              <w:t>Показатель «Доля</w:t>
            </w:r>
            <w:r w:rsidRPr="00FA589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детей</w:t>
            </w:r>
            <w:r w:rsidRPr="00FA589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в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возрасте от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5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до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18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>лет, получающих</w:t>
            </w:r>
            <w:r w:rsidRPr="00FA5898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8"/>
              </w:rPr>
              <w:t xml:space="preserve">услуги по </w:t>
            </w:r>
            <w:r w:rsidRPr="00FA5898">
              <w:rPr>
                <w:rFonts w:ascii="Times New Roman" w:hAnsi="Times New Roman" w:cs="Times New Roman"/>
                <w:spacing w:val="-2"/>
              </w:rPr>
              <w:t>дополнительному</w:t>
            </w:r>
            <w:r w:rsidRPr="00FA589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образованию и</w:t>
            </w:r>
            <w:r w:rsidRPr="00FA589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спортивной</w:t>
            </w:r>
            <w:r w:rsidRPr="00FA58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подготовке</w:t>
            </w:r>
            <w:r w:rsidRPr="00FA589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в</w:t>
            </w:r>
            <w:r w:rsidRPr="00FA589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отрасли</w:t>
            </w:r>
            <w:r w:rsidRPr="00FA589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"спорт"</w:t>
            </w:r>
            <w:r w:rsidRPr="00FA589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FA5898">
              <w:rPr>
                <w:rFonts w:ascii="Times New Roman" w:hAnsi="Times New Roman" w:cs="Times New Roman"/>
                <w:w w:val="90"/>
              </w:rPr>
              <w:t>организациях различных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>организационно-правовых</w:t>
            </w:r>
            <w:r w:rsidRPr="00FA5898">
              <w:rPr>
                <w:rFonts w:ascii="Times New Roman" w:hAnsi="Times New Roman" w:cs="Times New Roman"/>
                <w:spacing w:val="-12"/>
                <w:w w:val="90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>форм и</w:t>
            </w:r>
            <w:r w:rsidRPr="00FA5898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 xml:space="preserve">форм собственности, в </w:t>
            </w:r>
            <w:r w:rsidRPr="00FA5898">
              <w:rPr>
                <w:rFonts w:ascii="Times New Roman" w:hAnsi="Times New Roman" w:cs="Times New Roman"/>
              </w:rPr>
              <w:t xml:space="preserve">общей численности детей в возрасте от 5 до 18 лет» снижается в 2024 году в </w:t>
            </w:r>
            <w:r w:rsidRPr="00FA5898">
              <w:rPr>
                <w:rFonts w:ascii="Times New Roman" w:hAnsi="Times New Roman" w:cs="Times New Roman"/>
                <w:w w:val="90"/>
              </w:rPr>
              <w:t>сравнении с 2023 на</w:t>
            </w:r>
            <w:r w:rsidRPr="00FA5898">
              <w:rPr>
                <w:rFonts w:ascii="Times New Roman" w:hAnsi="Times New Roman" w:cs="Times New Roman"/>
                <w:i/>
                <w:w w:val="90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 xml:space="preserve">4,5%, затем значение показателя остается стабильным и не изменятся до 2026 года и незначительно повышается в 2027 году. Стоит отметить </w:t>
            </w:r>
            <w:r w:rsidRPr="00FA5898">
              <w:rPr>
                <w:rFonts w:ascii="Times New Roman" w:hAnsi="Times New Roman" w:cs="Times New Roman"/>
                <w:spacing w:val="-2"/>
              </w:rPr>
              <w:t>важность</w:t>
            </w:r>
            <w:r w:rsidRPr="00FA5898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этого</w:t>
            </w:r>
            <w:r w:rsidRPr="00FA589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показателя</w:t>
            </w:r>
            <w:r w:rsidRPr="00FA58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в</w:t>
            </w:r>
            <w:r w:rsidRPr="00FA5898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приобщении молодого</w:t>
            </w:r>
            <w:r w:rsidRPr="00FA58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поколения</w:t>
            </w:r>
            <w:r w:rsidRPr="00FA589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к</w:t>
            </w:r>
            <w:r w:rsidRPr="00FA5898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 xml:space="preserve">здоровому образу </w:t>
            </w:r>
            <w:r w:rsidRPr="00FA5898">
              <w:rPr>
                <w:rFonts w:ascii="Times New Roman" w:hAnsi="Times New Roman" w:cs="Times New Roman"/>
              </w:rPr>
              <w:t>жизни</w:t>
            </w:r>
            <w:r w:rsidRPr="00FA5898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и</w:t>
            </w:r>
            <w:r w:rsidRPr="00FA5898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в</w:t>
            </w:r>
            <w:r w:rsidRPr="00FA5898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ориентации</w:t>
            </w:r>
            <w:r w:rsidRPr="00FA589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на</w:t>
            </w:r>
            <w:r w:rsidRPr="00FA589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качественное</w:t>
            </w:r>
            <w:r w:rsidRPr="00FA589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проведение</w:t>
            </w:r>
            <w:r w:rsidRPr="00FA589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свободного</w:t>
            </w:r>
            <w:r w:rsidRPr="00FA589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времени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>(что,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</w:rPr>
              <w:t xml:space="preserve">в </w:t>
            </w:r>
            <w:r w:rsidRPr="00FA5898">
              <w:rPr>
                <w:rFonts w:ascii="Times New Roman" w:hAnsi="Times New Roman" w:cs="Times New Roman"/>
                <w:w w:val="90"/>
              </w:rPr>
              <w:t>свою</w:t>
            </w:r>
            <w:r w:rsidRPr="00FA5898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>очередь,</w:t>
            </w:r>
            <w:r w:rsidRPr="00FA5898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>решает</w:t>
            </w:r>
            <w:r w:rsidRPr="00FA5898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>задачи</w:t>
            </w:r>
            <w:r w:rsidRPr="00FA5898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>воспитания и</w:t>
            </w:r>
            <w:r w:rsidRPr="00FA5898">
              <w:rPr>
                <w:rFonts w:ascii="Times New Roman" w:hAnsi="Times New Roman" w:cs="Times New Roman"/>
                <w:spacing w:val="-12"/>
                <w:w w:val="90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>организации досуга детей</w:t>
            </w:r>
            <w:r w:rsidRPr="00FA5898">
              <w:rPr>
                <w:rFonts w:ascii="Times New Roman" w:hAnsi="Times New Roman" w:cs="Times New Roman"/>
                <w:spacing w:val="-1"/>
                <w:w w:val="90"/>
              </w:rPr>
              <w:t xml:space="preserve"> </w:t>
            </w:r>
            <w:r w:rsidRPr="00FA5898">
              <w:rPr>
                <w:rFonts w:ascii="Times New Roman" w:hAnsi="Times New Roman" w:cs="Times New Roman"/>
                <w:w w:val="90"/>
              </w:rPr>
              <w:t xml:space="preserve">дошкольного </w:t>
            </w:r>
            <w:r w:rsidRPr="00FA5898">
              <w:rPr>
                <w:rFonts w:ascii="Times New Roman" w:hAnsi="Times New Roman" w:cs="Times New Roman"/>
              </w:rPr>
              <w:t>и школьного возраста).</w:t>
            </w:r>
          </w:p>
          <w:p w:rsidR="00FA5898" w:rsidRPr="00FA5898" w:rsidRDefault="00FA5898" w:rsidP="00EE060C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  <w:spacing w:val="-2"/>
              </w:rPr>
              <w:t>Показатель</w:t>
            </w:r>
            <w:r w:rsidRPr="00FA5898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«Доля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граждан,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имеющих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доступ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к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получению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государственных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 xml:space="preserve">и </w:t>
            </w:r>
            <w:r w:rsidRPr="00FA5898">
              <w:rPr>
                <w:rFonts w:ascii="Times New Roman" w:hAnsi="Times New Roman" w:cs="Times New Roman"/>
                <w:spacing w:val="-4"/>
              </w:rPr>
              <w:t>муниципальных</w:t>
            </w:r>
            <w:r w:rsidRPr="00FA589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услуг</w:t>
            </w:r>
            <w:r w:rsidRPr="00FA58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по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принципу</w:t>
            </w:r>
            <w:r w:rsidRPr="00FA589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«одного окна»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по</w:t>
            </w:r>
            <w:r w:rsidRPr="00FA589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месту</w:t>
            </w:r>
            <w:r w:rsidRPr="00FA589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пребывания,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в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том</w:t>
            </w:r>
            <w:r w:rsidRPr="00FA589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 xml:space="preserve">числе </w:t>
            </w:r>
            <w:r w:rsidRPr="00FA5898">
              <w:rPr>
                <w:rFonts w:ascii="Times New Roman" w:hAnsi="Times New Roman" w:cs="Times New Roman"/>
              </w:rPr>
              <w:t xml:space="preserve">в многофункциональных центрах предоставления государственных и </w:t>
            </w:r>
            <w:r w:rsidRPr="00FA5898">
              <w:rPr>
                <w:rFonts w:ascii="Times New Roman" w:hAnsi="Times New Roman" w:cs="Times New Roman"/>
                <w:spacing w:val="-6"/>
              </w:rPr>
              <w:t>муниципальных</w:t>
            </w:r>
            <w:r w:rsidRPr="00FA589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услуг»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с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2024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по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2027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год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равняется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90,0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%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(по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всем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сценариям),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 xml:space="preserve">при </w:t>
            </w:r>
            <w:r w:rsidRPr="00FA5898">
              <w:rPr>
                <w:rFonts w:ascii="Times New Roman" w:hAnsi="Times New Roman" w:cs="Times New Roman"/>
                <w:w w:val="90"/>
              </w:rPr>
              <w:t>этом показатель 2023 года равняетс</w:t>
            </w:r>
            <w:r w:rsidR="00EE060C">
              <w:rPr>
                <w:rFonts w:ascii="Times New Roman" w:hAnsi="Times New Roman" w:cs="Times New Roman"/>
                <w:w w:val="90"/>
              </w:rPr>
              <w:t>я</w:t>
            </w:r>
            <w:r w:rsidRPr="00FA5898">
              <w:rPr>
                <w:rFonts w:ascii="Times New Roman" w:hAnsi="Times New Roman" w:cs="Times New Roman"/>
                <w:w w:val="90"/>
              </w:rPr>
              <w:t xml:space="preserve"> 101,1 %. </w:t>
            </w:r>
            <w:r w:rsidRPr="00FA5898">
              <w:rPr>
                <w:rFonts w:ascii="Times New Roman" w:hAnsi="Times New Roman" w:cs="Times New Roman"/>
                <w:w w:val="90"/>
              </w:rPr>
              <w:lastRenderedPageBreak/>
              <w:t xml:space="preserve">Необходимо учесть рост количества </w:t>
            </w:r>
            <w:r w:rsidRPr="00FA5898">
              <w:rPr>
                <w:rFonts w:ascii="Times New Roman" w:hAnsi="Times New Roman" w:cs="Times New Roman"/>
                <w:spacing w:val="-6"/>
              </w:rPr>
              <w:t>граждан,</w:t>
            </w:r>
            <w:r w:rsidRPr="00FA589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заинтересованных</w:t>
            </w:r>
            <w:r w:rsidRPr="00FA589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в</w:t>
            </w:r>
            <w:r w:rsidRPr="00FA589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получении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услуг по</w:t>
            </w:r>
            <w:r w:rsidRPr="00FA589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принципу «одного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окна»</w:t>
            </w:r>
          </w:p>
        </w:tc>
        <w:tc>
          <w:tcPr>
            <w:tcW w:w="4724" w:type="dxa"/>
          </w:tcPr>
          <w:p w:rsidR="00FA5898" w:rsidRPr="00FA5898" w:rsidRDefault="00FA5898" w:rsidP="0028609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lastRenderedPageBreak/>
              <w:t>Принимается.</w:t>
            </w:r>
          </w:p>
          <w:p w:rsidR="00FA5898" w:rsidRPr="00FA5898" w:rsidRDefault="00CC4FEE" w:rsidP="0028609A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2 проекта </w:t>
            </w:r>
            <w:r w:rsidR="00FA5898" w:rsidRPr="00FA5898">
              <w:rPr>
                <w:rFonts w:ascii="Times New Roman" w:hAnsi="Times New Roman" w:cs="Times New Roman"/>
              </w:rPr>
              <w:t>дополнено описанием основных тенденций, предпосылок сценариев прогноза.</w:t>
            </w:r>
          </w:p>
          <w:p w:rsidR="00FA5898" w:rsidRPr="00FA5898" w:rsidRDefault="00FA5898" w:rsidP="0028609A">
            <w:pPr>
              <w:spacing w:after="0" w:line="240" w:lineRule="auto"/>
              <w:ind w:firstLine="35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Значения показателей, характеризующих миграционные процессы, учитывают, с одной стороны, влияние изменений в миграционном законодательстве, с другой стороны, влияние внутренних факторов, обуславливающих динамику потребности в трудовой миграции.</w:t>
            </w:r>
          </w:p>
          <w:p w:rsidR="00FA5898" w:rsidRPr="00FA5898" w:rsidRDefault="00FA5898" w:rsidP="0028609A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pacing w:val="-4"/>
              </w:rPr>
            </w:pPr>
            <w:r w:rsidRPr="00FA5898">
              <w:rPr>
                <w:rFonts w:ascii="Times New Roman" w:hAnsi="Times New Roman" w:cs="Times New Roman"/>
              </w:rPr>
              <w:t>Сценарии прогноза учитывают опережающие темпы роста численности занятых в секторе малого бизнеса</w:t>
            </w:r>
            <w:r w:rsidRPr="00FA5898">
              <w:rPr>
                <w:rFonts w:ascii="Times New Roman" w:hAnsi="Times New Roman" w:cs="Times New Roman"/>
                <w:spacing w:val="-4"/>
              </w:rPr>
              <w:t xml:space="preserve"> по сравнению с темпами роста занятости в крупных и средних организациях, включая государственный и муниципальный сектор.</w:t>
            </w:r>
          </w:p>
          <w:p w:rsidR="00FA5898" w:rsidRPr="00FA5898" w:rsidRDefault="00FA5898" w:rsidP="0028609A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Значения показателей, отражающих уровень заработной платы целевых категорий, учитывают объемы, запланированные в соответствии с утвержденным бюджетом города.</w:t>
            </w:r>
          </w:p>
          <w:p w:rsidR="00FA5898" w:rsidRPr="003B06F6" w:rsidRDefault="00FA5898" w:rsidP="0028609A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</w:rPr>
            </w:pPr>
            <w:r w:rsidRPr="003B06F6">
              <w:rPr>
                <w:rFonts w:ascii="Times New Roman" w:hAnsi="Times New Roman" w:cs="Times New Roman"/>
              </w:rPr>
              <w:t xml:space="preserve">Снижение значения показателя </w:t>
            </w:r>
            <w:r w:rsidRPr="003B06F6">
              <w:rPr>
                <w:rFonts w:ascii="Times New Roman" w:hAnsi="Times New Roman" w:cs="Times New Roman"/>
                <w:spacing w:val="-8"/>
              </w:rPr>
              <w:t>«Доля</w:t>
            </w:r>
            <w:r w:rsidRPr="003B06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8"/>
              </w:rPr>
              <w:t>детей</w:t>
            </w:r>
            <w:r w:rsidRPr="003B06F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8"/>
              </w:rPr>
              <w:t>в</w:t>
            </w:r>
            <w:r w:rsidRPr="003B06F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8"/>
              </w:rPr>
              <w:t>возрасте от</w:t>
            </w:r>
            <w:r w:rsidRPr="003B06F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8"/>
              </w:rPr>
              <w:t>5</w:t>
            </w:r>
            <w:r w:rsidRPr="003B06F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8"/>
              </w:rPr>
              <w:t>до</w:t>
            </w:r>
            <w:r w:rsidRPr="003B06F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8"/>
              </w:rPr>
              <w:t>18</w:t>
            </w:r>
            <w:r w:rsidRPr="003B06F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8"/>
              </w:rPr>
              <w:t>лет, получающих</w:t>
            </w:r>
            <w:r w:rsidRPr="003B06F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8"/>
              </w:rPr>
              <w:t xml:space="preserve">услуги по </w:t>
            </w:r>
            <w:r w:rsidRPr="003B06F6">
              <w:rPr>
                <w:rFonts w:ascii="Times New Roman" w:hAnsi="Times New Roman" w:cs="Times New Roman"/>
                <w:spacing w:val="-2"/>
              </w:rPr>
              <w:t>дополнительному</w:t>
            </w:r>
            <w:r w:rsidRPr="003B06F6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2"/>
              </w:rPr>
              <w:t>образованию и</w:t>
            </w:r>
            <w:r w:rsidRPr="003B06F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2"/>
              </w:rPr>
              <w:t>спортивной</w:t>
            </w:r>
            <w:r w:rsidRPr="003B06F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2"/>
              </w:rPr>
              <w:t>подготовке</w:t>
            </w:r>
            <w:r w:rsidRPr="003B06F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2"/>
              </w:rPr>
              <w:t>в</w:t>
            </w:r>
            <w:r w:rsidRPr="003B06F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2"/>
              </w:rPr>
              <w:t>отрасли</w:t>
            </w:r>
            <w:r w:rsidRPr="003B06F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2"/>
              </w:rPr>
              <w:t>"спорт"</w:t>
            </w:r>
            <w:r w:rsidRPr="003B06F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B06F6"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3B06F6">
              <w:rPr>
                <w:rFonts w:ascii="Times New Roman" w:hAnsi="Times New Roman" w:cs="Times New Roman"/>
                <w:w w:val="90"/>
              </w:rPr>
              <w:t>организациях различных</w:t>
            </w:r>
            <w:r w:rsidRPr="003B06F6">
              <w:rPr>
                <w:rFonts w:ascii="Times New Roman" w:hAnsi="Times New Roman" w:cs="Times New Roman"/>
              </w:rPr>
              <w:t xml:space="preserve"> </w:t>
            </w:r>
            <w:r w:rsidRPr="003B06F6">
              <w:rPr>
                <w:rFonts w:ascii="Times New Roman" w:hAnsi="Times New Roman" w:cs="Times New Roman"/>
                <w:w w:val="90"/>
              </w:rPr>
              <w:t>организационно-правовых</w:t>
            </w:r>
            <w:r w:rsidRPr="003B06F6">
              <w:rPr>
                <w:rFonts w:ascii="Times New Roman" w:hAnsi="Times New Roman" w:cs="Times New Roman"/>
                <w:spacing w:val="-12"/>
                <w:w w:val="90"/>
              </w:rPr>
              <w:t xml:space="preserve"> </w:t>
            </w:r>
            <w:r w:rsidRPr="003B06F6">
              <w:rPr>
                <w:rFonts w:ascii="Times New Roman" w:hAnsi="Times New Roman" w:cs="Times New Roman"/>
                <w:w w:val="90"/>
              </w:rPr>
              <w:t>форм и</w:t>
            </w:r>
            <w:r w:rsidRPr="003B06F6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3B06F6">
              <w:rPr>
                <w:rFonts w:ascii="Times New Roman" w:hAnsi="Times New Roman" w:cs="Times New Roman"/>
                <w:w w:val="90"/>
              </w:rPr>
              <w:t xml:space="preserve">форм собственности, в </w:t>
            </w:r>
            <w:r w:rsidRPr="003B06F6">
              <w:rPr>
                <w:rFonts w:ascii="Times New Roman" w:hAnsi="Times New Roman" w:cs="Times New Roman"/>
              </w:rPr>
              <w:t>общей численности детей в возрасте от 5 до 18 лет» в 2024 году обусловлено, в основном, изменением методики формирования значений показателя в части учета  обучающихся  в спортивных школах: учитываются занимающиеся по дополнительным образовательным программам спортивной подготовки.</w:t>
            </w:r>
          </w:p>
          <w:p w:rsidR="00FA5898" w:rsidRPr="00FA5898" w:rsidRDefault="00FA5898" w:rsidP="0028609A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  <w:spacing w:val="-2"/>
              </w:rPr>
              <w:t>Значения показателя</w:t>
            </w:r>
            <w:r w:rsidRPr="00FA5898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«Доля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граждан,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имеющих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доступ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к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получению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>государственных</w:t>
            </w:r>
            <w:r w:rsidRPr="00FA589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2"/>
              </w:rPr>
              <w:t xml:space="preserve">и </w:t>
            </w:r>
            <w:r w:rsidRPr="00FA5898">
              <w:rPr>
                <w:rFonts w:ascii="Times New Roman" w:hAnsi="Times New Roman" w:cs="Times New Roman"/>
                <w:spacing w:val="-4"/>
              </w:rPr>
              <w:t>муниципальных</w:t>
            </w:r>
            <w:r w:rsidRPr="00FA589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услуг</w:t>
            </w:r>
            <w:r w:rsidRPr="00FA58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по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принципу</w:t>
            </w:r>
            <w:r w:rsidRPr="00FA589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«одного окна»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по</w:t>
            </w:r>
            <w:r w:rsidRPr="00FA589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месту</w:t>
            </w:r>
            <w:r w:rsidRPr="00FA589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пребывания,</w:t>
            </w:r>
            <w:r w:rsidRPr="00FA5898">
              <w:rPr>
                <w:rFonts w:ascii="Times New Roman" w:hAnsi="Times New Roman" w:cs="Times New Roman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в</w:t>
            </w:r>
            <w:r w:rsidRPr="00FA589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>том</w:t>
            </w:r>
            <w:r w:rsidRPr="00FA589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4"/>
              </w:rPr>
              <w:t xml:space="preserve">числе </w:t>
            </w:r>
            <w:r w:rsidRPr="00FA5898">
              <w:rPr>
                <w:rFonts w:ascii="Times New Roman" w:hAnsi="Times New Roman" w:cs="Times New Roman"/>
              </w:rPr>
              <w:t xml:space="preserve">в многофункциональных центрах предоставления </w:t>
            </w:r>
            <w:r w:rsidRPr="00FA5898">
              <w:rPr>
                <w:rFonts w:ascii="Times New Roman" w:hAnsi="Times New Roman" w:cs="Times New Roman"/>
              </w:rPr>
              <w:lastRenderedPageBreak/>
              <w:t xml:space="preserve">государственных и </w:t>
            </w:r>
            <w:r w:rsidRPr="00FA5898">
              <w:rPr>
                <w:rFonts w:ascii="Times New Roman" w:hAnsi="Times New Roman" w:cs="Times New Roman"/>
                <w:spacing w:val="-6"/>
              </w:rPr>
              <w:t>муниципальных</w:t>
            </w:r>
            <w:r w:rsidRPr="00FA589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A5898">
              <w:rPr>
                <w:rFonts w:ascii="Times New Roman" w:hAnsi="Times New Roman" w:cs="Times New Roman"/>
                <w:spacing w:val="-6"/>
              </w:rPr>
              <w:t>услуг» на среднесрочный период отражают целевое значение в соответствии с Указом Президента Российской Федерации от 07.05.2012 № 601 «Об основных направлениях совершенствования системы государственного управления»</w:t>
            </w:r>
          </w:p>
          <w:p w:rsidR="00FA5898" w:rsidRPr="00FA5898" w:rsidRDefault="00FA5898" w:rsidP="0028609A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</w:rPr>
            </w:pPr>
          </w:p>
          <w:p w:rsidR="00FA5898" w:rsidRPr="00FA5898" w:rsidRDefault="00FA5898" w:rsidP="0028609A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</w:rPr>
            </w:pPr>
          </w:p>
          <w:p w:rsidR="00FA5898" w:rsidRPr="00FA5898" w:rsidRDefault="00FA5898" w:rsidP="0028609A">
            <w:pPr>
              <w:spacing w:after="0" w:line="240" w:lineRule="auto"/>
              <w:ind w:firstLine="35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5898" w:rsidRPr="00FA5898" w:rsidTr="00D27759">
        <w:tc>
          <w:tcPr>
            <w:tcW w:w="752" w:type="dxa"/>
            <w:vMerge/>
          </w:tcPr>
          <w:p w:rsidR="00FA5898" w:rsidRPr="00FA5898" w:rsidRDefault="00FA5898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FA5898" w:rsidRPr="00FA5898" w:rsidRDefault="00FA5898" w:rsidP="00533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Merge/>
          </w:tcPr>
          <w:p w:rsidR="00FA5898" w:rsidRPr="00FA5898" w:rsidRDefault="00FA5898" w:rsidP="00533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FA5898" w:rsidRPr="00FA5898" w:rsidRDefault="00FA5898" w:rsidP="00533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35" w:type="dxa"/>
          </w:tcPr>
          <w:p w:rsidR="00FA5898" w:rsidRPr="003A6EAB" w:rsidRDefault="00FA5898" w:rsidP="005336DF">
            <w:pPr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</w:rPr>
            </w:pPr>
            <w:r w:rsidRPr="003A6EAB">
              <w:rPr>
                <w:rFonts w:ascii="Times New Roman" w:hAnsi="Times New Roman" w:cs="Times New Roman"/>
                <w:spacing w:val="-6"/>
              </w:rPr>
              <w:t>В</w:t>
            </w:r>
            <w:r w:rsidRPr="003A6EA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6"/>
              </w:rPr>
              <w:t>дополнении</w:t>
            </w:r>
            <w:r w:rsidRPr="003A6EAB">
              <w:rPr>
                <w:rFonts w:ascii="Times New Roman" w:hAnsi="Times New Roman" w:cs="Times New Roman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6"/>
              </w:rPr>
              <w:t xml:space="preserve">к перечню основных приоритетов социально-экономического </w:t>
            </w:r>
            <w:r w:rsidRPr="003A6EAB">
              <w:rPr>
                <w:rFonts w:ascii="Times New Roman" w:hAnsi="Times New Roman" w:cs="Times New Roman"/>
              </w:rPr>
              <w:t xml:space="preserve">развития рекомендуем рассмотреть пункт «Повышение уровня привлекательность </w:t>
            </w:r>
            <w:r w:rsidRPr="003A6EAB">
              <w:rPr>
                <w:rFonts w:ascii="Times New Roman" w:hAnsi="Times New Roman" w:cs="Times New Roman"/>
                <w:w w:val="90"/>
              </w:rPr>
              <w:t>города для молодого населения с целью предотвращения миграционного</w:t>
            </w:r>
            <w:r w:rsidRPr="003A6EAB">
              <w:rPr>
                <w:rFonts w:ascii="Times New Roman" w:hAnsi="Times New Roman" w:cs="Times New Roman"/>
              </w:rPr>
              <w:t xml:space="preserve"> </w:t>
            </w:r>
            <w:r w:rsidRPr="003A6EAB">
              <w:rPr>
                <w:rFonts w:ascii="Times New Roman" w:hAnsi="Times New Roman" w:cs="Times New Roman"/>
                <w:w w:val="90"/>
              </w:rPr>
              <w:t xml:space="preserve">оттока и </w:t>
            </w:r>
            <w:r w:rsidRPr="003A6EAB">
              <w:rPr>
                <w:rFonts w:ascii="Times New Roman" w:hAnsi="Times New Roman" w:cs="Times New Roman"/>
              </w:rPr>
              <w:t>увеличения</w:t>
            </w:r>
            <w:r w:rsidRPr="003A6E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уровня</w:t>
            </w:r>
            <w:r w:rsidRPr="003A6E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вовлеченности граждан, в</w:t>
            </w:r>
            <w:r w:rsidRPr="003A6E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том</w:t>
            </w:r>
            <w:r w:rsidRPr="003A6E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числе</w:t>
            </w:r>
            <w:r w:rsidRPr="003A6E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молодежи,</w:t>
            </w:r>
            <w:r w:rsidRPr="003A6E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в</w:t>
            </w:r>
            <w:r w:rsidRPr="003A6EA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вопросы развития</w:t>
            </w:r>
            <w:r w:rsidRPr="003A6E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Сургута»</w:t>
            </w:r>
          </w:p>
        </w:tc>
        <w:tc>
          <w:tcPr>
            <w:tcW w:w="4724" w:type="dxa"/>
          </w:tcPr>
          <w:p w:rsidR="00FA5898" w:rsidRPr="00FA5898" w:rsidRDefault="00FA5898" w:rsidP="005336DF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Принимается.</w:t>
            </w:r>
          </w:p>
          <w:p w:rsidR="00FA5898" w:rsidRPr="00FA5898" w:rsidRDefault="00CC4FEE" w:rsidP="005336DF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 проекта</w:t>
            </w:r>
            <w:r w:rsidR="00FA5898" w:rsidRPr="00FA5898">
              <w:rPr>
                <w:rFonts w:ascii="Times New Roman" w:hAnsi="Times New Roman" w:cs="Times New Roman"/>
              </w:rPr>
              <w:t xml:space="preserve"> дополнено соответствующим приоритетом развития.</w:t>
            </w:r>
          </w:p>
          <w:p w:rsidR="00FA5898" w:rsidRPr="00FA5898" w:rsidRDefault="00FA5898" w:rsidP="005336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5898" w:rsidRPr="00FA5898" w:rsidTr="00D27759">
        <w:tc>
          <w:tcPr>
            <w:tcW w:w="752" w:type="dxa"/>
            <w:vMerge/>
          </w:tcPr>
          <w:p w:rsidR="00FA5898" w:rsidRPr="00FA5898" w:rsidRDefault="00FA5898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FA5898" w:rsidRPr="00FA5898" w:rsidRDefault="00FA5898" w:rsidP="00533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Merge/>
          </w:tcPr>
          <w:p w:rsidR="00FA5898" w:rsidRPr="00FA5898" w:rsidRDefault="00FA5898" w:rsidP="00533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FA5898" w:rsidRPr="00FA5898" w:rsidRDefault="00FA5898" w:rsidP="00533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5" w:type="dxa"/>
          </w:tcPr>
          <w:p w:rsidR="00FA5898" w:rsidRPr="003A6EAB" w:rsidRDefault="00FA5898" w:rsidP="005336DF">
            <w:pPr>
              <w:pStyle w:val="1"/>
              <w:spacing w:before="0" w:after="0"/>
              <w:ind w:firstLine="545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</w:pPr>
            <w:r w:rsidRPr="003A6EAB"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  <w:t>В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12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  <w:t>оценке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  <w:t>риска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1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  <w:t>целесообразным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12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  <w:t>является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7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  <w:t>учет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12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  <w:t>таких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5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  <w:t>тенденций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3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  <w:t>как:</w:t>
            </w:r>
          </w:p>
          <w:p w:rsidR="00FA5898" w:rsidRPr="003A6EAB" w:rsidRDefault="00FA5898" w:rsidP="005336D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A6EAB">
              <w:rPr>
                <w:rFonts w:ascii="Times New Roman" w:hAnsi="Times New Roman" w:cs="Times New Roman"/>
                <w:b w:val="0"/>
                <w:color w:val="auto"/>
                <w:w w:val="90"/>
                <w:sz w:val="22"/>
                <w:szCs w:val="22"/>
              </w:rPr>
              <w:t>- уменьшение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47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w w:val="90"/>
                <w:sz w:val="22"/>
                <w:szCs w:val="22"/>
              </w:rPr>
              <w:t>уровня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31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w w:val="90"/>
                <w:sz w:val="22"/>
                <w:szCs w:val="22"/>
              </w:rPr>
              <w:t>бюджетной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50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w w:val="90"/>
                <w:sz w:val="22"/>
                <w:szCs w:val="22"/>
              </w:rPr>
              <w:t>обеспеченности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32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w w:val="90"/>
                <w:sz w:val="22"/>
                <w:szCs w:val="22"/>
              </w:rPr>
              <w:t>бюджета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50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2"/>
                <w:w w:val="90"/>
                <w:sz w:val="22"/>
                <w:szCs w:val="22"/>
              </w:rPr>
              <w:t>муниципального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2"/>
                <w:sz w:val="22"/>
                <w:szCs w:val="22"/>
              </w:rPr>
              <w:t xml:space="preserve"> образования;</w:t>
            </w:r>
          </w:p>
          <w:p w:rsidR="00FA5898" w:rsidRPr="003A6EAB" w:rsidRDefault="00FA5898" w:rsidP="005336DF">
            <w:pPr>
              <w:widowControl w:val="0"/>
              <w:tabs>
                <w:tab w:val="left" w:pos="10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6EAB">
              <w:rPr>
                <w:rFonts w:ascii="Times New Roman" w:hAnsi="Times New Roman" w:cs="Times New Roman"/>
              </w:rPr>
              <w:t>- миграционный</w:t>
            </w:r>
            <w:r w:rsidRPr="003A6EA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отток,</w:t>
            </w:r>
            <w:r w:rsidRPr="003A6E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в</w:t>
            </w:r>
            <w:r w:rsidRPr="003A6EA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том</w:t>
            </w:r>
            <w:r w:rsidRPr="003A6E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числе</w:t>
            </w:r>
            <w:r w:rsidRPr="003A6E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A6EAB">
              <w:rPr>
                <w:rFonts w:ascii="Times New Roman" w:hAnsi="Times New Roman" w:cs="Times New Roman"/>
              </w:rPr>
              <w:t>молодого</w:t>
            </w:r>
            <w:r w:rsidRPr="003A6E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2"/>
              </w:rPr>
              <w:t>населения;</w:t>
            </w:r>
          </w:p>
          <w:p w:rsidR="00FA5898" w:rsidRPr="003A6EAB" w:rsidRDefault="00FA5898" w:rsidP="005336DF">
            <w:pPr>
              <w:pStyle w:val="1"/>
              <w:tabs>
                <w:tab w:val="left" w:pos="998"/>
              </w:tabs>
              <w:adjustRightInd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A6EAB">
              <w:rPr>
                <w:rFonts w:ascii="Times New Roman" w:hAnsi="Times New Roman" w:cs="Times New Roman"/>
                <w:b w:val="0"/>
                <w:color w:val="auto"/>
                <w:spacing w:val="-4"/>
                <w:sz w:val="22"/>
                <w:szCs w:val="22"/>
              </w:rPr>
              <w:t>- снижение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2"/>
                <w:sz w:val="22"/>
                <w:szCs w:val="22"/>
              </w:rPr>
              <w:t xml:space="preserve"> </w:t>
            </w:r>
            <w:r w:rsidRPr="003A6EAB">
              <w:rPr>
                <w:rFonts w:ascii="Times New Roman" w:hAnsi="Times New Roman" w:cs="Times New Roman"/>
                <w:b w:val="0"/>
                <w:color w:val="auto"/>
                <w:spacing w:val="-4"/>
                <w:sz w:val="22"/>
                <w:szCs w:val="22"/>
              </w:rPr>
              <w:t>уровня рождаемости;</w:t>
            </w:r>
          </w:p>
          <w:p w:rsidR="00FA5898" w:rsidRPr="003A6EAB" w:rsidRDefault="00FA5898" w:rsidP="005336DF">
            <w:pPr>
              <w:widowControl w:val="0"/>
              <w:tabs>
                <w:tab w:val="left" w:pos="9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6EAB">
              <w:rPr>
                <w:rFonts w:ascii="Times New Roman" w:hAnsi="Times New Roman" w:cs="Times New Roman"/>
                <w:spacing w:val="-4"/>
              </w:rPr>
              <w:t>- повышения</w:t>
            </w:r>
            <w:r w:rsidRPr="003A6EA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4"/>
              </w:rPr>
              <w:t>уровня</w:t>
            </w:r>
            <w:r w:rsidRPr="003A6EAB">
              <w:rPr>
                <w:rFonts w:ascii="Times New Roman" w:hAnsi="Times New Roman" w:cs="Times New Roman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4"/>
              </w:rPr>
              <w:t>показателя</w:t>
            </w:r>
            <w:r w:rsidRPr="003A6E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4"/>
              </w:rPr>
              <w:t>инфляции</w:t>
            </w:r>
            <w:r w:rsidRPr="003A6E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4"/>
              </w:rPr>
              <w:t>по</w:t>
            </w:r>
            <w:r w:rsidRPr="003A6EA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4"/>
              </w:rPr>
              <w:t>стране</w:t>
            </w:r>
            <w:r w:rsidRPr="003A6E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4"/>
              </w:rPr>
              <w:t>в</w:t>
            </w:r>
            <w:r w:rsidRPr="003A6EA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4"/>
              </w:rPr>
              <w:t>целом,</w:t>
            </w:r>
            <w:r w:rsidRPr="003A6E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4"/>
              </w:rPr>
              <w:t>повышение</w:t>
            </w:r>
            <w:r w:rsidRPr="003A6E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5"/>
              </w:rPr>
              <w:t xml:space="preserve">цен </w:t>
            </w:r>
            <w:r w:rsidRPr="003A6EAB">
              <w:rPr>
                <w:rFonts w:ascii="Times New Roman" w:hAnsi="Times New Roman" w:cs="Times New Roman"/>
                <w:w w:val="105"/>
              </w:rPr>
              <w:t>на</w:t>
            </w:r>
            <w:r w:rsidRPr="003A6E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w w:val="105"/>
              </w:rPr>
              <w:t>группы</w:t>
            </w:r>
            <w:r w:rsidRPr="003A6EAB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w w:val="105"/>
              </w:rPr>
              <w:t>товаров</w:t>
            </w:r>
            <w:r w:rsidRPr="003A6EAB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w w:val="105"/>
              </w:rPr>
              <w:t>иностранного</w:t>
            </w:r>
            <w:r w:rsidRPr="003A6EAB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2"/>
                <w:w w:val="105"/>
              </w:rPr>
              <w:t>производства;</w:t>
            </w:r>
          </w:p>
          <w:p w:rsidR="00FA5898" w:rsidRPr="00FA5898" w:rsidRDefault="00FA5898" w:rsidP="005336DF">
            <w:pPr>
              <w:widowControl w:val="0"/>
              <w:tabs>
                <w:tab w:val="left" w:pos="99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6EAB">
              <w:rPr>
                <w:rFonts w:ascii="Times New Roman" w:hAnsi="Times New Roman" w:cs="Times New Roman"/>
                <w:w w:val="105"/>
              </w:rPr>
              <w:t>- отсутствие</w:t>
            </w:r>
            <w:r w:rsidRPr="003A6EAB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w w:val="105"/>
              </w:rPr>
              <w:t>механизмов</w:t>
            </w:r>
            <w:r w:rsidRPr="003A6EAB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w w:val="105"/>
              </w:rPr>
              <w:t>адаптивности</w:t>
            </w:r>
            <w:r w:rsidRPr="003A6EAB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w w:val="105"/>
              </w:rPr>
              <w:t>к</w:t>
            </w:r>
            <w:r w:rsidRPr="003A6EAB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w w:val="105"/>
              </w:rPr>
              <w:t>изменениям</w:t>
            </w:r>
            <w:r w:rsidRPr="003A6EAB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w w:val="105"/>
              </w:rPr>
              <w:t>внешней</w:t>
            </w:r>
            <w:r w:rsidRPr="003A6EAB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3A6EAB">
              <w:rPr>
                <w:rFonts w:ascii="Times New Roman" w:hAnsi="Times New Roman" w:cs="Times New Roman"/>
                <w:spacing w:val="-2"/>
                <w:w w:val="105"/>
              </w:rPr>
              <w:t>среды</w:t>
            </w:r>
          </w:p>
        </w:tc>
        <w:tc>
          <w:tcPr>
            <w:tcW w:w="4724" w:type="dxa"/>
          </w:tcPr>
          <w:p w:rsidR="00FA5898" w:rsidRPr="00FA5898" w:rsidRDefault="00FA5898" w:rsidP="005336DF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Принимается.</w:t>
            </w:r>
          </w:p>
          <w:p w:rsidR="00FA5898" w:rsidRPr="00FA5898" w:rsidRDefault="00CC4FEE" w:rsidP="005336DF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2 проекта </w:t>
            </w:r>
            <w:r w:rsidR="00FA5898" w:rsidRPr="00FA5898">
              <w:rPr>
                <w:rFonts w:ascii="Times New Roman" w:hAnsi="Times New Roman" w:cs="Times New Roman"/>
              </w:rPr>
              <w:t>дополнено описанием основных тенденций, предпосылок сценариев прогноза, включающих в том числе предлагаемые</w:t>
            </w:r>
          </w:p>
          <w:p w:rsidR="00FA5898" w:rsidRPr="00FA5898" w:rsidRDefault="00FA5898" w:rsidP="005336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FF3" w:rsidRPr="00FA5898" w:rsidTr="00D27759">
        <w:tc>
          <w:tcPr>
            <w:tcW w:w="752" w:type="dxa"/>
          </w:tcPr>
          <w:p w:rsidR="00065FF3" w:rsidRPr="00FA5898" w:rsidRDefault="00065FF3" w:rsidP="00116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0" w:type="dxa"/>
          </w:tcPr>
          <w:p w:rsidR="00065FF3" w:rsidRPr="00FA5898" w:rsidRDefault="00065FF3" w:rsidP="00065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16.10.2024</w:t>
            </w:r>
          </w:p>
        </w:tc>
        <w:tc>
          <w:tcPr>
            <w:tcW w:w="2032" w:type="dxa"/>
          </w:tcPr>
          <w:p w:rsidR="00065FF3" w:rsidRPr="00FA5898" w:rsidRDefault="00065FF3" w:rsidP="00065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5898">
              <w:rPr>
                <w:rFonts w:ascii="Times New Roman" w:hAnsi="Times New Roman" w:cs="Times New Roman"/>
              </w:rPr>
              <w:t>Бюджетное учреждение высшего образования Ханты-Мансийск</w:t>
            </w:r>
            <w:r>
              <w:rPr>
                <w:rFonts w:ascii="Times New Roman" w:hAnsi="Times New Roman" w:cs="Times New Roman"/>
              </w:rPr>
              <w:t xml:space="preserve">ого автономного округа - Югры «Югорский </w:t>
            </w:r>
            <w:r w:rsidRPr="00FA5898">
              <w:rPr>
                <w:rFonts w:ascii="Times New Roman" w:hAnsi="Times New Roman" w:cs="Times New Roman"/>
              </w:rPr>
              <w:t>государственный университет»</w:t>
            </w:r>
          </w:p>
        </w:tc>
        <w:tc>
          <w:tcPr>
            <w:tcW w:w="1460" w:type="dxa"/>
          </w:tcPr>
          <w:p w:rsidR="00065FF3" w:rsidRPr="00FA5898" w:rsidRDefault="00065FF3" w:rsidP="00533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5" w:type="dxa"/>
          </w:tcPr>
          <w:p w:rsidR="00065FF3" w:rsidRPr="00065FF3" w:rsidRDefault="00065FF3" w:rsidP="00065FF3">
            <w:pPr>
              <w:pStyle w:val="1"/>
              <w:spacing w:before="0" w:after="0"/>
              <w:ind w:firstLine="545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pacing w:val="-6"/>
                <w:sz w:val="22"/>
                <w:szCs w:val="22"/>
              </w:rPr>
            </w:pPr>
            <w:r w:rsidRPr="00065FF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Проект Постановления Администрации города позволяет формировать в регионе инновационную экономику нового технологического уклада, проектировать, активно внедрять, а также реализовывать предложенные инновации</w:t>
            </w:r>
          </w:p>
        </w:tc>
        <w:tc>
          <w:tcPr>
            <w:tcW w:w="4724" w:type="dxa"/>
          </w:tcPr>
          <w:p w:rsidR="00065FF3" w:rsidRPr="00FA5898" w:rsidRDefault="00185579" w:rsidP="005336DF">
            <w:pPr>
              <w:spacing w:after="0" w:line="240" w:lineRule="auto"/>
              <w:ind w:firstLine="2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Принимается</w:t>
            </w:r>
          </w:p>
        </w:tc>
      </w:tr>
    </w:tbl>
    <w:p w:rsidR="0020042C" w:rsidRDefault="0020042C" w:rsidP="0011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042C" w:rsidSect="00450F14">
      <w:pgSz w:w="16838" w:h="11906" w:orient="landscape"/>
      <w:pgMar w:top="1134" w:right="1258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060A"/>
    <w:multiLevelType w:val="hybridMultilevel"/>
    <w:tmpl w:val="C7906E28"/>
    <w:lvl w:ilvl="0" w:tplc="81DA2D26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F822DE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F6AC0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60DB4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F0AA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F0AB34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8C62E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A24EC2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A8EF1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8A77D9"/>
    <w:multiLevelType w:val="hybridMultilevel"/>
    <w:tmpl w:val="205A6B8A"/>
    <w:lvl w:ilvl="0" w:tplc="13F88610">
      <w:numFmt w:val="bullet"/>
      <w:lvlText w:val="-"/>
      <w:lvlJc w:val="left"/>
      <w:pPr>
        <w:ind w:left="1008" w:hanging="146"/>
      </w:pPr>
      <w:rPr>
        <w:rFonts w:ascii="Calibri" w:eastAsia="Calibri" w:hAnsi="Calibri" w:cs="Calibri" w:hint="default"/>
        <w:spacing w:val="0"/>
        <w:w w:val="86"/>
        <w:lang w:val="ru-RU" w:eastAsia="en-US" w:bidi="ar-SA"/>
      </w:rPr>
    </w:lvl>
    <w:lvl w:ilvl="1" w:tplc="7ADAA0D0">
      <w:numFmt w:val="bullet"/>
      <w:lvlText w:val="•"/>
      <w:lvlJc w:val="left"/>
      <w:pPr>
        <w:ind w:left="1918" w:hanging="146"/>
      </w:pPr>
      <w:rPr>
        <w:rFonts w:hint="default"/>
        <w:lang w:val="ru-RU" w:eastAsia="en-US" w:bidi="ar-SA"/>
      </w:rPr>
    </w:lvl>
    <w:lvl w:ilvl="2" w:tplc="D914754E">
      <w:numFmt w:val="bullet"/>
      <w:lvlText w:val="•"/>
      <w:lvlJc w:val="left"/>
      <w:pPr>
        <w:ind w:left="2836" w:hanging="146"/>
      </w:pPr>
      <w:rPr>
        <w:rFonts w:hint="default"/>
        <w:lang w:val="ru-RU" w:eastAsia="en-US" w:bidi="ar-SA"/>
      </w:rPr>
    </w:lvl>
    <w:lvl w:ilvl="3" w:tplc="D46A7B90">
      <w:numFmt w:val="bullet"/>
      <w:lvlText w:val="•"/>
      <w:lvlJc w:val="left"/>
      <w:pPr>
        <w:ind w:left="3754" w:hanging="146"/>
      </w:pPr>
      <w:rPr>
        <w:rFonts w:hint="default"/>
        <w:lang w:val="ru-RU" w:eastAsia="en-US" w:bidi="ar-SA"/>
      </w:rPr>
    </w:lvl>
    <w:lvl w:ilvl="4" w:tplc="A4FE4E3E">
      <w:numFmt w:val="bullet"/>
      <w:lvlText w:val="•"/>
      <w:lvlJc w:val="left"/>
      <w:pPr>
        <w:ind w:left="4672" w:hanging="146"/>
      </w:pPr>
      <w:rPr>
        <w:rFonts w:hint="default"/>
        <w:lang w:val="ru-RU" w:eastAsia="en-US" w:bidi="ar-SA"/>
      </w:rPr>
    </w:lvl>
    <w:lvl w:ilvl="5" w:tplc="2F30B4C4">
      <w:numFmt w:val="bullet"/>
      <w:lvlText w:val="•"/>
      <w:lvlJc w:val="left"/>
      <w:pPr>
        <w:ind w:left="5590" w:hanging="146"/>
      </w:pPr>
      <w:rPr>
        <w:rFonts w:hint="default"/>
        <w:lang w:val="ru-RU" w:eastAsia="en-US" w:bidi="ar-SA"/>
      </w:rPr>
    </w:lvl>
    <w:lvl w:ilvl="6" w:tplc="3FE45B78">
      <w:numFmt w:val="bullet"/>
      <w:lvlText w:val="•"/>
      <w:lvlJc w:val="left"/>
      <w:pPr>
        <w:ind w:left="6508" w:hanging="146"/>
      </w:pPr>
      <w:rPr>
        <w:rFonts w:hint="default"/>
        <w:lang w:val="ru-RU" w:eastAsia="en-US" w:bidi="ar-SA"/>
      </w:rPr>
    </w:lvl>
    <w:lvl w:ilvl="7" w:tplc="8AC42286">
      <w:numFmt w:val="bullet"/>
      <w:lvlText w:val="•"/>
      <w:lvlJc w:val="left"/>
      <w:pPr>
        <w:ind w:left="7426" w:hanging="146"/>
      </w:pPr>
      <w:rPr>
        <w:rFonts w:hint="default"/>
        <w:lang w:val="ru-RU" w:eastAsia="en-US" w:bidi="ar-SA"/>
      </w:rPr>
    </w:lvl>
    <w:lvl w:ilvl="8" w:tplc="F4809930">
      <w:numFmt w:val="bullet"/>
      <w:lvlText w:val="•"/>
      <w:lvlJc w:val="left"/>
      <w:pPr>
        <w:ind w:left="8344" w:hanging="1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30"/>
    <w:rsid w:val="00010096"/>
    <w:rsid w:val="00065FF3"/>
    <w:rsid w:val="00071387"/>
    <w:rsid w:val="000B5A33"/>
    <w:rsid w:val="000E0176"/>
    <w:rsid w:val="000F63AF"/>
    <w:rsid w:val="0011602B"/>
    <w:rsid w:val="00122DE8"/>
    <w:rsid w:val="00123709"/>
    <w:rsid w:val="0013440B"/>
    <w:rsid w:val="00147A26"/>
    <w:rsid w:val="00165985"/>
    <w:rsid w:val="00171850"/>
    <w:rsid w:val="00185579"/>
    <w:rsid w:val="001F01C9"/>
    <w:rsid w:val="001F78E6"/>
    <w:rsid w:val="0020042C"/>
    <w:rsid w:val="00201490"/>
    <w:rsid w:val="00221A98"/>
    <w:rsid w:val="0024502E"/>
    <w:rsid w:val="0026424F"/>
    <w:rsid w:val="00273FFA"/>
    <w:rsid w:val="00284C73"/>
    <w:rsid w:val="0028609A"/>
    <w:rsid w:val="00292A49"/>
    <w:rsid w:val="002C1DAB"/>
    <w:rsid w:val="002D6787"/>
    <w:rsid w:val="002D7EF2"/>
    <w:rsid w:val="00317832"/>
    <w:rsid w:val="00355905"/>
    <w:rsid w:val="003A6EAB"/>
    <w:rsid w:val="003B06F6"/>
    <w:rsid w:val="003C5A42"/>
    <w:rsid w:val="003E1535"/>
    <w:rsid w:val="003E4330"/>
    <w:rsid w:val="003E6BF3"/>
    <w:rsid w:val="004068E2"/>
    <w:rsid w:val="00432788"/>
    <w:rsid w:val="0043301B"/>
    <w:rsid w:val="00441B66"/>
    <w:rsid w:val="004428AC"/>
    <w:rsid w:val="00450F14"/>
    <w:rsid w:val="0045594E"/>
    <w:rsid w:val="00457794"/>
    <w:rsid w:val="004B429B"/>
    <w:rsid w:val="004E760D"/>
    <w:rsid w:val="004F0010"/>
    <w:rsid w:val="004F48EC"/>
    <w:rsid w:val="005124F3"/>
    <w:rsid w:val="005336DF"/>
    <w:rsid w:val="00561616"/>
    <w:rsid w:val="00564E16"/>
    <w:rsid w:val="005775EB"/>
    <w:rsid w:val="0058292C"/>
    <w:rsid w:val="005E072B"/>
    <w:rsid w:val="005F1591"/>
    <w:rsid w:val="00607BDD"/>
    <w:rsid w:val="006307EC"/>
    <w:rsid w:val="00643065"/>
    <w:rsid w:val="00694F4F"/>
    <w:rsid w:val="006979EF"/>
    <w:rsid w:val="006D40E3"/>
    <w:rsid w:val="006D54E6"/>
    <w:rsid w:val="006F3716"/>
    <w:rsid w:val="00743068"/>
    <w:rsid w:val="0074594A"/>
    <w:rsid w:val="00791B26"/>
    <w:rsid w:val="007F146E"/>
    <w:rsid w:val="008004B4"/>
    <w:rsid w:val="00883DCD"/>
    <w:rsid w:val="0088474D"/>
    <w:rsid w:val="008C01AE"/>
    <w:rsid w:val="00926BEF"/>
    <w:rsid w:val="009573CB"/>
    <w:rsid w:val="00973BDE"/>
    <w:rsid w:val="009D7294"/>
    <w:rsid w:val="00A04CED"/>
    <w:rsid w:val="00A5078A"/>
    <w:rsid w:val="00A55D92"/>
    <w:rsid w:val="00A804BD"/>
    <w:rsid w:val="00AC7769"/>
    <w:rsid w:val="00AD392B"/>
    <w:rsid w:val="00B17859"/>
    <w:rsid w:val="00B25130"/>
    <w:rsid w:val="00B94501"/>
    <w:rsid w:val="00BB5A84"/>
    <w:rsid w:val="00BC57A8"/>
    <w:rsid w:val="00C5688F"/>
    <w:rsid w:val="00C675F3"/>
    <w:rsid w:val="00C74891"/>
    <w:rsid w:val="00C8008D"/>
    <w:rsid w:val="00CC11BD"/>
    <w:rsid w:val="00CC4FEE"/>
    <w:rsid w:val="00CC5C91"/>
    <w:rsid w:val="00CE2635"/>
    <w:rsid w:val="00D27759"/>
    <w:rsid w:val="00D602ED"/>
    <w:rsid w:val="00D663EF"/>
    <w:rsid w:val="00DE25CA"/>
    <w:rsid w:val="00DE5759"/>
    <w:rsid w:val="00DF2EB1"/>
    <w:rsid w:val="00E458E9"/>
    <w:rsid w:val="00E47C61"/>
    <w:rsid w:val="00E5374E"/>
    <w:rsid w:val="00EB72FE"/>
    <w:rsid w:val="00EE060C"/>
    <w:rsid w:val="00F2709D"/>
    <w:rsid w:val="00F30260"/>
    <w:rsid w:val="00F704E6"/>
    <w:rsid w:val="00F77255"/>
    <w:rsid w:val="00F83DDC"/>
    <w:rsid w:val="00F87520"/>
    <w:rsid w:val="00FA5898"/>
    <w:rsid w:val="00FE1C88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0714"/>
  <w15:chartTrackingRefBased/>
  <w15:docId w15:val="{D8CA3A0C-A62F-4B71-9BCA-1F240811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70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7B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7BD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07BDD"/>
    <w:rPr>
      <w:b/>
      <w:color w:val="26282F"/>
    </w:rPr>
  </w:style>
  <w:style w:type="paragraph" w:customStyle="1" w:styleId="Default">
    <w:name w:val="Default"/>
    <w:rsid w:val="003178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7EC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rsid w:val="00DE25CA"/>
    <w:rPr>
      <w:color w:val="0000FF"/>
      <w:u w:val="single"/>
    </w:rPr>
  </w:style>
  <w:style w:type="table" w:styleId="a7">
    <w:name w:val="Table Grid"/>
    <w:basedOn w:val="a1"/>
    <w:uiPriority w:val="59"/>
    <w:rsid w:val="00F3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basedOn w:val="a0"/>
    <w:uiPriority w:val="99"/>
    <w:rsid w:val="00FF300A"/>
    <w:rPr>
      <w:rFonts w:cs="Times New Roman"/>
      <w:b w:val="0"/>
      <w:color w:val="106BBE"/>
    </w:rPr>
  </w:style>
  <w:style w:type="paragraph" w:styleId="a9">
    <w:name w:val="List Paragraph"/>
    <w:basedOn w:val="a"/>
    <w:uiPriority w:val="1"/>
    <w:qFormat/>
    <w:rsid w:val="002C1DA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0713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71387"/>
    <w:rPr>
      <w:rFonts w:ascii="Calibri" w:eastAsia="Calibri" w:hAnsi="Calibri" w:cs="Calibri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450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hmao.ru/dokumenty/vse-dokumenty/rasporyazheniya-pravitelst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6983-38A7-475D-8B36-131AE2B7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Бергер Ольга Сергеевна</cp:lastModifiedBy>
  <cp:revision>4</cp:revision>
  <cp:lastPrinted>2024-03-28T09:41:00Z</cp:lastPrinted>
  <dcterms:created xsi:type="dcterms:W3CDTF">2024-10-17T08:38:00Z</dcterms:created>
  <dcterms:modified xsi:type="dcterms:W3CDTF">2024-10-17T08:44:00Z</dcterms:modified>
</cp:coreProperties>
</file>