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626" w:rsidRDefault="00556626" w:rsidP="00B0591C">
      <w:pPr>
        <w:tabs>
          <w:tab w:val="left" w:pos="7513"/>
        </w:tabs>
        <w:ind w:right="-1" w:firstLine="864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Проект</w:t>
      </w:r>
    </w:p>
    <w:p w:rsidR="00556626" w:rsidRDefault="00556626" w:rsidP="00556626">
      <w:pPr>
        <w:tabs>
          <w:tab w:val="left" w:pos="7655"/>
        </w:tabs>
        <w:jc w:val="right"/>
        <w:rPr>
          <w:rFonts w:eastAsia="Times New Roman" w:cs="Times New Roman"/>
          <w:szCs w:val="28"/>
          <w:lang w:eastAsia="ru-RU"/>
        </w:rPr>
      </w:pPr>
    </w:p>
    <w:p w:rsidR="00556626" w:rsidRPr="00D40C91" w:rsidRDefault="00556626" w:rsidP="00556626">
      <w:pPr>
        <w:spacing w:before="240"/>
        <w:jc w:val="center"/>
        <w:rPr>
          <w:rFonts w:cs="Times New Roman"/>
          <w:spacing w:val="2"/>
          <w:sz w:val="26"/>
          <w:szCs w:val="26"/>
        </w:rPr>
      </w:pPr>
      <w:r w:rsidRPr="00D40C91">
        <w:rPr>
          <w:rFonts w:cs="Times New Roman"/>
          <w:spacing w:val="6"/>
          <w:sz w:val="26"/>
          <w:szCs w:val="26"/>
        </w:rPr>
        <w:t xml:space="preserve">МУНИЦИПАЛЬНОЕ ОБРАЗОВАНИЕ </w:t>
      </w:r>
      <w:r w:rsidRPr="00D40C91">
        <w:rPr>
          <w:rFonts w:cs="Times New Roman"/>
          <w:spacing w:val="2"/>
          <w:sz w:val="26"/>
          <w:szCs w:val="26"/>
        </w:rPr>
        <w:t>ГОРОДСКОЙ ОКРУГ СУРГУТ</w:t>
      </w:r>
    </w:p>
    <w:p w:rsidR="00556626" w:rsidRPr="00D40C91" w:rsidRDefault="00556626" w:rsidP="00556626">
      <w:pPr>
        <w:jc w:val="center"/>
        <w:rPr>
          <w:rFonts w:cs="Times New Roman"/>
          <w:spacing w:val="6"/>
          <w:sz w:val="26"/>
          <w:szCs w:val="26"/>
        </w:rPr>
      </w:pPr>
      <w:r w:rsidRPr="00D40C91">
        <w:rPr>
          <w:rFonts w:cs="Times New Roman"/>
          <w:spacing w:val="6"/>
          <w:sz w:val="26"/>
          <w:szCs w:val="26"/>
        </w:rPr>
        <w:t>ХАНТЫ-МАНСИЙСКОГО АВТОНОМНОГО ОКРУГА – ЮГРЫ</w:t>
      </w:r>
    </w:p>
    <w:p w:rsidR="00556626" w:rsidRDefault="00556626" w:rsidP="00556626">
      <w:pPr>
        <w:tabs>
          <w:tab w:val="left" w:pos="7655"/>
        </w:tabs>
        <w:rPr>
          <w:rFonts w:eastAsia="Times New Roman" w:cs="Times New Roman"/>
          <w:szCs w:val="28"/>
          <w:lang w:eastAsia="ru-RU"/>
        </w:rPr>
      </w:pPr>
    </w:p>
    <w:p w:rsidR="00556626" w:rsidRDefault="00556626" w:rsidP="00556626">
      <w:pPr>
        <w:tabs>
          <w:tab w:val="left" w:pos="7655"/>
        </w:tabs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ДУМА ГОРОДА</w:t>
      </w:r>
    </w:p>
    <w:p w:rsidR="00556626" w:rsidRDefault="00556626" w:rsidP="00556626">
      <w:pPr>
        <w:tabs>
          <w:tab w:val="left" w:pos="7655"/>
        </w:tabs>
        <w:jc w:val="center"/>
        <w:rPr>
          <w:rFonts w:eastAsia="Times New Roman" w:cs="Times New Roman"/>
          <w:szCs w:val="28"/>
          <w:lang w:eastAsia="ru-RU"/>
        </w:rPr>
      </w:pPr>
    </w:p>
    <w:p w:rsidR="00556626" w:rsidRDefault="00556626" w:rsidP="00556626">
      <w:pPr>
        <w:tabs>
          <w:tab w:val="left" w:pos="7655"/>
        </w:tabs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РЕШЕНИЕ</w:t>
      </w:r>
    </w:p>
    <w:p w:rsidR="00556626" w:rsidRDefault="00556626" w:rsidP="00556626">
      <w:pPr>
        <w:tabs>
          <w:tab w:val="left" w:pos="7655"/>
        </w:tabs>
        <w:rPr>
          <w:rFonts w:eastAsia="Times New Roman" w:cs="Times New Roman"/>
          <w:szCs w:val="28"/>
          <w:lang w:eastAsia="ru-RU"/>
        </w:rPr>
      </w:pPr>
    </w:p>
    <w:p w:rsidR="00556626" w:rsidRDefault="00556626" w:rsidP="00556626">
      <w:pPr>
        <w:jc w:val="left"/>
        <w:rPr>
          <w:rFonts w:eastAsia="Times New Roman" w:cs="Times New Roman"/>
          <w:sz w:val="36"/>
          <w:szCs w:val="36"/>
          <w:lang w:eastAsia="ru-RU"/>
        </w:rPr>
      </w:pPr>
      <w:r>
        <w:rPr>
          <w:rFonts w:eastAsia="Times New Roman" w:cs="Times New Roman"/>
          <w:sz w:val="36"/>
          <w:szCs w:val="36"/>
          <w:lang w:eastAsia="ru-RU"/>
        </w:rPr>
        <w:t>____________________</w:t>
      </w:r>
    </w:p>
    <w:p w:rsidR="00556626" w:rsidRDefault="00556626" w:rsidP="00556626">
      <w:pPr>
        <w:jc w:val="left"/>
        <w:rPr>
          <w:rFonts w:eastAsia="Times New Roman" w:cs="Times New Roman"/>
          <w:sz w:val="36"/>
          <w:szCs w:val="36"/>
          <w:lang w:eastAsia="ru-RU"/>
        </w:rPr>
      </w:pPr>
    </w:p>
    <w:p w:rsidR="009C129A" w:rsidRPr="00AC53A9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9C129A" w:rsidRPr="00AC53A9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>городской Думы от 28.06.2005</w:t>
      </w:r>
    </w:p>
    <w:p w:rsidR="009C129A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>№ 475-</w:t>
      </w:r>
      <w:r w:rsidRPr="00AC53A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C53A9">
        <w:rPr>
          <w:rFonts w:ascii="Times New Roman" w:hAnsi="Times New Roman" w:cs="Times New Roman"/>
          <w:sz w:val="28"/>
          <w:szCs w:val="28"/>
        </w:rPr>
        <w:t xml:space="preserve"> ГД «Об утверждении </w:t>
      </w:r>
    </w:p>
    <w:p w:rsidR="009C129A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землепользования и </w:t>
      </w:r>
    </w:p>
    <w:p w:rsidR="009C129A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 xml:space="preserve">застройки на территории города </w:t>
      </w:r>
    </w:p>
    <w:p w:rsidR="009C129A" w:rsidRPr="00AC53A9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>Сургута»</w:t>
      </w:r>
    </w:p>
    <w:p w:rsidR="009C129A" w:rsidRDefault="009C129A" w:rsidP="009C129A">
      <w:pPr>
        <w:rPr>
          <w:rFonts w:cs="Times New Roman"/>
          <w:szCs w:val="28"/>
        </w:rPr>
      </w:pPr>
    </w:p>
    <w:p w:rsidR="009C129A" w:rsidRPr="00AC53A9" w:rsidRDefault="009C129A" w:rsidP="009C129A">
      <w:pPr>
        <w:rPr>
          <w:rFonts w:cs="Times New Roman"/>
          <w:szCs w:val="28"/>
        </w:rPr>
      </w:pPr>
    </w:p>
    <w:p w:rsidR="009C129A" w:rsidRPr="00AC53A9" w:rsidRDefault="009C129A" w:rsidP="009C129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31,</w:t>
      </w:r>
      <w:r w:rsidRPr="00AC53A9">
        <w:rPr>
          <w:rFonts w:ascii="Times New Roman" w:hAnsi="Times New Roman" w:cs="Times New Roman"/>
          <w:sz w:val="28"/>
          <w:szCs w:val="28"/>
        </w:rPr>
        <w:t xml:space="preserve"> 33 Градостроительного кодекса Российской Федерации, Уставом муниципального образования городской округ город Сургут Ханты-Мансийского автономного округа - Югры, учитывая заключени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C53A9">
        <w:rPr>
          <w:rFonts w:ascii="Times New Roman" w:hAnsi="Times New Roman" w:cs="Times New Roman"/>
          <w:sz w:val="28"/>
          <w:szCs w:val="28"/>
        </w:rPr>
        <w:t>и рекомендации комиссии по градостроите</w:t>
      </w:r>
      <w:r>
        <w:rPr>
          <w:rFonts w:ascii="Times New Roman" w:hAnsi="Times New Roman" w:cs="Times New Roman"/>
          <w:sz w:val="28"/>
          <w:szCs w:val="28"/>
        </w:rPr>
        <w:t xml:space="preserve">льному зонированию, Дума города      </w:t>
      </w:r>
      <w:r w:rsidRPr="00AC53A9">
        <w:rPr>
          <w:rFonts w:ascii="Times New Roman" w:hAnsi="Times New Roman" w:cs="Times New Roman"/>
          <w:sz w:val="28"/>
          <w:szCs w:val="28"/>
        </w:rPr>
        <w:t>РЕШИЛА:</w:t>
      </w:r>
    </w:p>
    <w:p w:rsidR="009C129A" w:rsidRPr="00AC53A9" w:rsidRDefault="009C129A" w:rsidP="009C129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5F3" w:rsidRDefault="004945F3" w:rsidP="004945F3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городской Думы от 28.06.2005 № 475-III ГД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Об утверждении Правил землепользования и застройки на территории города Сургута» (в редакции от </w:t>
      </w:r>
      <w:r w:rsidR="0039084C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908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.2021 № 7</w:t>
      </w:r>
      <w:r w:rsidR="0039084C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-V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ДГ) изменения, изложив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статью                    </w:t>
      </w:r>
      <w:r w:rsidR="0039084C" w:rsidRPr="0039084C">
        <w:rPr>
          <w:rFonts w:ascii="Times New Roman" w:eastAsia="Arial Unicode MS" w:hAnsi="Times New Roman" w:cs="Times New Roman"/>
          <w:sz w:val="28"/>
          <w:szCs w:val="28"/>
        </w:rPr>
        <w:t>76</w:t>
      </w:r>
      <w:r w:rsidRPr="0039084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39084C">
        <w:rPr>
          <w:rFonts w:ascii="Times New Roman" w:hAnsi="Times New Roman" w:cs="Times New Roman"/>
          <w:sz w:val="28"/>
          <w:szCs w:val="28"/>
        </w:rPr>
        <w:t>«</w:t>
      </w:r>
      <w:r w:rsidR="0039084C" w:rsidRPr="0039084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комплексного и устойчивого развития территории КУРТ</w:t>
      </w:r>
      <w:r w:rsidRPr="0039084C">
        <w:rPr>
          <w:rFonts w:ascii="Times New Roman" w:hAnsi="Times New Roman" w:cs="Times New Roman"/>
          <w:sz w:val="28"/>
          <w:szCs w:val="28"/>
        </w:rPr>
        <w:t xml:space="preserve">» </w:t>
      </w:r>
      <w:r w:rsidRPr="0039084C">
        <w:rPr>
          <w:rFonts w:ascii="Times New Roman" w:eastAsia="Arial Unicode MS" w:hAnsi="Times New Roman" w:cs="Times New Roman"/>
          <w:sz w:val="28"/>
          <w:szCs w:val="28"/>
        </w:rPr>
        <w:t>в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разделе                                         II «Градостроительные регламенты» </w:t>
      </w:r>
      <w:r>
        <w:rPr>
          <w:rFonts w:ascii="Times New Roman" w:hAnsi="Times New Roman" w:cs="Times New Roman"/>
          <w:color w:val="000000"/>
          <w:sz w:val="28"/>
          <w:szCs w:val="28"/>
        </w:rPr>
        <w:t>в следующей редакции:</w:t>
      </w:r>
    </w:p>
    <w:p w:rsidR="0039084C" w:rsidRPr="00926329" w:rsidRDefault="0039084C" w:rsidP="0039084C">
      <w:pPr>
        <w:ind w:left="1985" w:hanging="1276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926329">
        <w:rPr>
          <w:rFonts w:eastAsia="Times New Roman" w:cs="Times New Roman"/>
          <w:szCs w:val="28"/>
          <w:lang w:eastAsia="ru-RU"/>
        </w:rPr>
        <w:t xml:space="preserve">Статья 76. </w:t>
      </w:r>
      <w:r w:rsidRPr="00926329">
        <w:rPr>
          <w:rFonts w:eastAsia="Times New Roman" w:cs="Times New Roman"/>
          <w:b/>
          <w:szCs w:val="28"/>
          <w:lang w:eastAsia="ru-RU"/>
        </w:rPr>
        <w:t>Зона комплексного развития территории КРТ</w:t>
      </w:r>
    </w:p>
    <w:p w:rsidR="0039084C" w:rsidRPr="00926329" w:rsidRDefault="0039084C" w:rsidP="0039084C">
      <w:pPr>
        <w:ind w:firstLine="709"/>
        <w:contextualSpacing/>
        <w:outlineLvl w:val="0"/>
        <w:rPr>
          <w:rFonts w:eastAsia="Times New Roman" w:cs="Times New Roman"/>
          <w:szCs w:val="28"/>
          <w:lang w:eastAsia="ru-RU"/>
        </w:rPr>
      </w:pPr>
      <w:r w:rsidRPr="00926329">
        <w:rPr>
          <w:rFonts w:eastAsia="Times New Roman" w:cs="Times New Roman"/>
          <w:szCs w:val="28"/>
          <w:lang w:eastAsia="ru-RU"/>
        </w:rPr>
        <w:t xml:space="preserve">1. Основные виды и параметры разрешённого использования земельных участков и объектов капитального строительства: </w:t>
      </w: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17"/>
        <w:gridCol w:w="5234"/>
        <w:gridCol w:w="1988"/>
      </w:tblGrid>
      <w:tr w:rsidR="0039084C" w:rsidRPr="00926329" w:rsidTr="0039084C">
        <w:trPr>
          <w:trHeight w:val="552"/>
        </w:trPr>
        <w:tc>
          <w:tcPr>
            <w:tcW w:w="2417" w:type="dxa"/>
          </w:tcPr>
          <w:p w:rsidR="0039084C" w:rsidRPr="00926329" w:rsidRDefault="0039084C" w:rsidP="00BE5B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329">
              <w:rPr>
                <w:rFonts w:eastAsia="Times New Roman" w:cs="Times New Roman"/>
                <w:sz w:val="24"/>
                <w:szCs w:val="24"/>
                <w:lang w:eastAsia="ru-RU"/>
              </w:rPr>
              <w:t>Виды использования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329">
              <w:rPr>
                <w:rFonts w:eastAsia="Times New Roman" w:cs="Times New Roman"/>
                <w:sz w:val="24"/>
                <w:szCs w:val="24"/>
                <w:lang w:eastAsia="ru-RU"/>
              </w:rPr>
              <w:t>Параметры разрешённого использования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32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92632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Многоэтажная жилая застройка (высотная застройка)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Этажность – от 9 </w:t>
            </w:r>
            <w:proofErr w:type="spellStart"/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39084C" w:rsidRPr="00926329" w:rsidRDefault="0039084C" w:rsidP="00BE5BFC">
            <w:pPr>
              <w:tabs>
                <w:tab w:val="left" w:pos="3204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Минимальный отступ от красной линии – 5 м.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красной линии допускается размещение жилого дома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 встроенными в первый этаж или пристроенными помещениями общественного назначения, кроме объектов образования и просвещения.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При размещении жилых домов вдоль магистральных улиц и дорог в первых этажах таких домов должны размещаться помещения исключительно объектов общественного (нежилого) назначения.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Размещение встроенных, пристроенных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и встроенно-пристроенных объектов осуществлять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в соответствии с требованиями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 xml:space="preserve">СП 54.13330.2011.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br/>
              <w:t>Свод правил. Здания жилые многоквартирные. Актуализированная редакция СНиП 31-01-2003.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 xml:space="preserve">Размещение объектов общественного назначения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br/>
              <w:t>во встроенных, пристроенных и встроенно-пристроенных помещениях многоквартирного дома допускается только со стороны красных линий.</w:t>
            </w:r>
          </w:p>
          <w:p w:rsidR="0039084C" w:rsidRPr="00926329" w:rsidRDefault="0039084C" w:rsidP="00BE5BFC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15.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Размеры земельных участков определяются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в соответствии с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Дошкольное, начальное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и среднее общее образование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Этажность – до 4 </w:t>
            </w:r>
            <w:proofErr w:type="spellStart"/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Минимальный отступ от красной линии – 25 м.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детского сада – 50.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школы – 60.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Размеры земельных участков определяются в соответствии с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 xml:space="preserve">региональными нормативами градостроительного проектирования Ханты-Мансийского автономного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br/>
              <w:t xml:space="preserve">округа – Югры, местными нормативами градостроительного проектирования на территории муниципального образования городской округ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br/>
              <w:t>город Сургут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Блокированная жилая застройка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Этажность – до 3 </w:t>
            </w:r>
            <w:proofErr w:type="spellStart"/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Высота гаражей – до 5 м.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Минимальный отступ от жилого дома до: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красной линии улиц – 5 м;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красной линии проездов – 3 м;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границы соседнего земельного участка – 3 м.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Минимальный отступ от подсобных сооружений до: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красных линий улиц и проездов – 5 м;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границы соседнего земельного участка – 1 м.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35.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Размеры земельных участков определяются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в соответствии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Деловое управление.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Общественное управление.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Банковская и страховая деятельность.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Бытовое обслуживание.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Гостиничное обслуживание.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80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Торговая площадь – до 1 000 кв. м.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80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Оказание услуг связи.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</w:rPr>
            </w:pPr>
            <w:r w:rsidRPr="00926329">
              <w:rPr>
                <w:rFonts w:eastAsia="Calibri" w:cs="Times New Roman"/>
                <w:sz w:val="20"/>
                <w:szCs w:val="20"/>
              </w:rPr>
              <w:t>Объекты культурно-досуговой деятельности.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</w:rPr>
            </w:pPr>
            <w:r w:rsidRPr="00926329">
              <w:rPr>
                <w:rFonts w:eastAsia="Calibri" w:cs="Times New Roman"/>
                <w:sz w:val="20"/>
                <w:szCs w:val="20"/>
              </w:rPr>
              <w:t>Парки культуры и отдыха.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Развлекательные мероприятия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80.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Размеры земельных участков определяются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в соответствии с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спортивно-зрелищных мероприятий.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</w:rPr>
            </w:pPr>
            <w:r w:rsidRPr="00926329">
              <w:rPr>
                <w:rFonts w:eastAsia="Calibri" w:cs="Times New Roman"/>
                <w:sz w:val="20"/>
                <w:szCs w:val="20"/>
              </w:rPr>
              <w:t>Обеспечение занятий спортом в помещениях.</w:t>
            </w:r>
          </w:p>
          <w:p w:rsidR="0039084C" w:rsidRPr="00926329" w:rsidRDefault="0039084C" w:rsidP="00BE5BFC">
            <w:pPr>
              <w:rPr>
                <w:rFonts w:eastAsia="Calibri" w:cs="Times New Roman"/>
                <w:sz w:val="20"/>
                <w:szCs w:val="20"/>
              </w:rPr>
            </w:pPr>
            <w:r w:rsidRPr="00926329">
              <w:rPr>
                <w:rFonts w:eastAsia="Calibri" w:cs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tabs>
                <w:tab w:val="left" w:pos="3204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Минимальный отступ от красной линии – 6 м.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80.</w:t>
            </w:r>
          </w:p>
          <w:p w:rsidR="0039084C" w:rsidRPr="00926329" w:rsidRDefault="0039084C" w:rsidP="00BE5BFC">
            <w:pPr>
              <w:tabs>
                <w:tab w:val="center" w:pos="4677"/>
                <w:tab w:val="right" w:pos="9355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Размеры земельных участков определяются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в соответствии с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rPr>
          <w:trHeight w:val="2552"/>
        </w:trPr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Среднее и высшее профессиональное образование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70.</w:t>
            </w:r>
          </w:p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60.</w:t>
            </w:r>
          </w:p>
          <w:p w:rsidR="0039084C" w:rsidRPr="00926329" w:rsidRDefault="0039084C" w:rsidP="00BE5BFC">
            <w:pPr>
              <w:tabs>
                <w:tab w:val="left" w:pos="3204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Размеры земельных участков определяются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в соответствии с </w:t>
            </w:r>
            <w:r w:rsidRPr="00926329">
              <w:rPr>
                <w:rFonts w:eastAsia="Calibri" w:cs="Times New Roman"/>
                <w:sz w:val="20"/>
                <w:szCs w:val="20"/>
                <w:lang w:eastAsia="ru-RU"/>
              </w:rPr>
              <w:t>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на территории муниципального образования городской округ город Сургут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научной деятельности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tabs>
                <w:tab w:val="left" w:pos="3204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 – 80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9084C" w:rsidRPr="00926329" w:rsidTr="0039084C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tabs>
                <w:tab w:val="left" w:pos="3204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9084C" w:rsidRPr="00926329" w:rsidRDefault="0039084C" w:rsidP="0039084C">
      <w:pPr>
        <w:ind w:firstLine="708"/>
        <w:outlineLvl w:val="0"/>
        <w:rPr>
          <w:rFonts w:eastAsia="Times New Roman" w:cs="Times New Roman"/>
          <w:szCs w:val="28"/>
          <w:lang w:eastAsia="ru-RU"/>
        </w:rPr>
      </w:pPr>
      <w:r w:rsidRPr="00926329">
        <w:rPr>
          <w:rFonts w:eastAsia="Times New Roman" w:cs="Times New Roman"/>
          <w:szCs w:val="28"/>
          <w:lang w:eastAsia="ru-RU"/>
        </w:rPr>
        <w:t>2. Условно разрешённые виды и параметры использования земельных участков и объектов капитального строительства: нет.</w:t>
      </w:r>
    </w:p>
    <w:p w:rsidR="0039084C" w:rsidRPr="00926329" w:rsidRDefault="0039084C" w:rsidP="0039084C">
      <w:pPr>
        <w:ind w:firstLine="708"/>
        <w:jc w:val="left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926329">
        <w:rPr>
          <w:rFonts w:eastAsia="Times New Roman" w:cs="Times New Roman"/>
          <w:szCs w:val="28"/>
          <w:lang w:eastAsia="ru-RU"/>
        </w:rPr>
        <w:t xml:space="preserve">3. Вспомогательные виды и параметры разрешённого использования земельных участков и объектов капитального строительства: </w:t>
      </w: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17"/>
        <w:gridCol w:w="5234"/>
        <w:gridCol w:w="1988"/>
      </w:tblGrid>
      <w:tr w:rsidR="0039084C" w:rsidRPr="00926329" w:rsidTr="003E323A">
        <w:trPr>
          <w:trHeight w:val="552"/>
        </w:trPr>
        <w:tc>
          <w:tcPr>
            <w:tcW w:w="2417" w:type="dxa"/>
          </w:tcPr>
          <w:p w:rsidR="0039084C" w:rsidRPr="00926329" w:rsidRDefault="0039084C" w:rsidP="00BE5B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329">
              <w:rPr>
                <w:rFonts w:eastAsia="Times New Roman" w:cs="Times New Roman"/>
                <w:sz w:val="24"/>
                <w:szCs w:val="24"/>
                <w:lang w:eastAsia="ru-RU"/>
              </w:rPr>
              <w:t>Виды использования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329">
              <w:rPr>
                <w:rFonts w:eastAsia="Times New Roman" w:cs="Times New Roman"/>
                <w:sz w:val="24"/>
                <w:szCs w:val="24"/>
                <w:lang w:eastAsia="ru-RU"/>
              </w:rPr>
              <w:t>Параметры разрешённого использования</w:t>
            </w:r>
          </w:p>
        </w:tc>
        <w:tc>
          <w:tcPr>
            <w:tcW w:w="1988" w:type="dxa"/>
          </w:tcPr>
          <w:p w:rsidR="0039084C" w:rsidRPr="00926329" w:rsidRDefault="0039084C" w:rsidP="00BE5B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632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92632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  <w:tr w:rsidR="0039084C" w:rsidRPr="00926329" w:rsidTr="003E323A">
        <w:trPr>
          <w:trHeight w:val="552"/>
        </w:trPr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Коммунальное обслуживание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tabs>
                <w:tab w:val="left" w:pos="3204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Этажность – до 2 </w:t>
            </w:r>
            <w:proofErr w:type="spellStart"/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39084C" w:rsidRPr="00926329" w:rsidRDefault="0039084C" w:rsidP="00BE5BFC">
            <w:pPr>
              <w:tabs>
                <w:tab w:val="left" w:pos="3204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допускается размещение объектов, причиняющих существенное неудобство жителям, вред окружающей среде </w:t>
            </w: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и санитарному благополучию</w:t>
            </w:r>
          </w:p>
        </w:tc>
      </w:tr>
      <w:tr w:rsidR="0039084C" w:rsidRPr="00926329" w:rsidTr="003E323A">
        <w:tc>
          <w:tcPr>
            <w:tcW w:w="2417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6329">
              <w:rPr>
                <w:rFonts w:eastAsia="Times New Roman" w:cs="Times New Roman"/>
                <w:sz w:val="20"/>
                <w:szCs w:val="20"/>
                <w:lang w:eastAsia="ru-RU"/>
              </w:rPr>
              <w:t>Служебные гаражи</w:t>
            </w:r>
          </w:p>
        </w:tc>
        <w:tc>
          <w:tcPr>
            <w:tcW w:w="5234" w:type="dxa"/>
          </w:tcPr>
          <w:p w:rsidR="0039084C" w:rsidRPr="00926329" w:rsidRDefault="0039084C" w:rsidP="00BE5BFC">
            <w:pPr>
              <w:tabs>
                <w:tab w:val="left" w:pos="3204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</w:tcPr>
          <w:p w:rsidR="0039084C" w:rsidRPr="00926329" w:rsidRDefault="0039084C" w:rsidP="00BE5BF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9084C" w:rsidRDefault="0039084C" w:rsidP="004945F3">
      <w:pPr>
        <w:ind w:left="2127" w:hanging="1419"/>
        <w:rPr>
          <w:rFonts w:eastAsia="Times New Roman" w:cs="Times New Roman"/>
          <w:szCs w:val="28"/>
          <w:lang w:eastAsia="ru-RU"/>
        </w:rPr>
      </w:pPr>
    </w:p>
    <w:p w:rsidR="0039084C" w:rsidRDefault="0039084C" w:rsidP="004945F3">
      <w:pPr>
        <w:ind w:left="2127" w:hanging="1419"/>
        <w:rPr>
          <w:rFonts w:eastAsia="Times New Roman" w:cs="Times New Roman"/>
          <w:szCs w:val="28"/>
          <w:lang w:eastAsia="ru-RU"/>
        </w:rPr>
      </w:pPr>
    </w:p>
    <w:p w:rsidR="00CA1505" w:rsidRDefault="00CA1505" w:rsidP="00556626">
      <w:pPr>
        <w:ind w:firstLine="709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104"/>
        <w:gridCol w:w="4536"/>
      </w:tblGrid>
      <w:tr w:rsidR="00556626" w:rsidRPr="00C863D5" w:rsidTr="00B0591C">
        <w:trPr>
          <w:trHeight w:val="1702"/>
        </w:trPr>
        <w:tc>
          <w:tcPr>
            <w:tcW w:w="5104" w:type="dxa"/>
          </w:tcPr>
          <w:p w:rsidR="00556626" w:rsidRPr="00EC72CA" w:rsidRDefault="00556626" w:rsidP="006B6850">
            <w:pPr>
              <w:rPr>
                <w:szCs w:val="28"/>
              </w:rPr>
            </w:pPr>
            <w:r w:rsidRPr="00EC72CA">
              <w:rPr>
                <w:szCs w:val="28"/>
              </w:rPr>
              <w:t>Председатель Думы города</w:t>
            </w:r>
          </w:p>
          <w:p w:rsidR="00556626" w:rsidRPr="00EC72CA" w:rsidRDefault="00556626" w:rsidP="006B6850">
            <w:pPr>
              <w:tabs>
                <w:tab w:val="left" w:pos="717"/>
              </w:tabs>
              <w:rPr>
                <w:szCs w:val="28"/>
              </w:rPr>
            </w:pPr>
          </w:p>
          <w:p w:rsidR="00556626" w:rsidRPr="00EC72CA" w:rsidRDefault="00556626" w:rsidP="006B6850">
            <w:pPr>
              <w:ind w:left="-250" w:firstLine="250"/>
              <w:rPr>
                <w:szCs w:val="28"/>
              </w:rPr>
            </w:pPr>
            <w:r w:rsidRPr="00EC72CA">
              <w:rPr>
                <w:szCs w:val="28"/>
              </w:rPr>
              <w:t>_______________ Н.А. Красноярова</w:t>
            </w:r>
          </w:p>
          <w:p w:rsidR="00556626" w:rsidRPr="00EC72CA" w:rsidRDefault="00556626" w:rsidP="006B6850">
            <w:pPr>
              <w:ind w:left="-250" w:firstLine="250"/>
              <w:rPr>
                <w:szCs w:val="28"/>
              </w:rPr>
            </w:pPr>
          </w:p>
          <w:p w:rsidR="00556626" w:rsidRPr="00EC72CA" w:rsidRDefault="00556626" w:rsidP="00FB469D">
            <w:pPr>
              <w:ind w:left="-250" w:firstLine="250"/>
              <w:rPr>
                <w:szCs w:val="28"/>
              </w:rPr>
            </w:pPr>
            <w:r>
              <w:rPr>
                <w:szCs w:val="28"/>
              </w:rPr>
              <w:t>«___» ___________ 202</w:t>
            </w:r>
            <w:r w:rsidR="00FB469D">
              <w:rPr>
                <w:szCs w:val="28"/>
              </w:rPr>
              <w:t>1</w:t>
            </w:r>
            <w:r w:rsidRPr="00EC72CA">
              <w:rPr>
                <w:szCs w:val="28"/>
              </w:rPr>
              <w:t xml:space="preserve"> г.</w:t>
            </w:r>
          </w:p>
        </w:tc>
        <w:tc>
          <w:tcPr>
            <w:tcW w:w="4536" w:type="dxa"/>
          </w:tcPr>
          <w:p w:rsidR="00556626" w:rsidRPr="00C863D5" w:rsidRDefault="00B0591C" w:rsidP="00B0591C">
            <w:pPr>
              <w:ind w:left="459" w:right="-108" w:firstLine="76"/>
              <w:rPr>
                <w:szCs w:val="28"/>
              </w:rPr>
            </w:pPr>
            <w:r>
              <w:rPr>
                <w:szCs w:val="28"/>
              </w:rPr>
              <w:t>Глава</w:t>
            </w:r>
            <w:r w:rsidR="00C863D5" w:rsidRPr="00C863D5">
              <w:rPr>
                <w:szCs w:val="28"/>
              </w:rPr>
              <w:t xml:space="preserve"> </w:t>
            </w:r>
            <w:r w:rsidR="00556626" w:rsidRPr="00C863D5">
              <w:rPr>
                <w:szCs w:val="28"/>
              </w:rPr>
              <w:t>города</w:t>
            </w:r>
          </w:p>
          <w:p w:rsidR="00556626" w:rsidRPr="00C863D5" w:rsidRDefault="00556626" w:rsidP="00B0591C">
            <w:pPr>
              <w:ind w:left="459" w:right="-108" w:firstLine="76"/>
              <w:rPr>
                <w:szCs w:val="28"/>
              </w:rPr>
            </w:pPr>
          </w:p>
          <w:p w:rsidR="00556626" w:rsidRPr="00C863D5" w:rsidRDefault="00556626" w:rsidP="00B0591C">
            <w:pPr>
              <w:tabs>
                <w:tab w:val="left" w:pos="520"/>
              </w:tabs>
              <w:ind w:left="459" w:right="-108" w:firstLine="76"/>
              <w:rPr>
                <w:szCs w:val="28"/>
              </w:rPr>
            </w:pPr>
            <w:r w:rsidRPr="00C863D5">
              <w:rPr>
                <w:szCs w:val="28"/>
              </w:rPr>
              <w:t xml:space="preserve"> _______________ </w:t>
            </w:r>
            <w:r w:rsidR="00C863D5" w:rsidRPr="00C863D5">
              <w:rPr>
                <w:szCs w:val="28"/>
              </w:rPr>
              <w:t>А</w:t>
            </w:r>
            <w:r w:rsidRPr="00C863D5">
              <w:rPr>
                <w:szCs w:val="28"/>
              </w:rPr>
              <w:t>.</w:t>
            </w:r>
            <w:r w:rsidR="00B0591C">
              <w:rPr>
                <w:szCs w:val="28"/>
              </w:rPr>
              <w:t>С</w:t>
            </w:r>
            <w:r w:rsidRPr="00C863D5">
              <w:rPr>
                <w:szCs w:val="28"/>
              </w:rPr>
              <w:t xml:space="preserve">. </w:t>
            </w:r>
            <w:r w:rsidR="00B0591C">
              <w:rPr>
                <w:szCs w:val="28"/>
              </w:rPr>
              <w:t>Филатов</w:t>
            </w:r>
          </w:p>
          <w:p w:rsidR="00556626" w:rsidRPr="00C863D5" w:rsidRDefault="00556626" w:rsidP="00B0591C">
            <w:pPr>
              <w:ind w:left="459" w:right="-108" w:firstLine="76"/>
              <w:rPr>
                <w:szCs w:val="28"/>
              </w:rPr>
            </w:pPr>
          </w:p>
          <w:p w:rsidR="00556626" w:rsidRPr="00C863D5" w:rsidRDefault="00556626" w:rsidP="00B0591C">
            <w:pPr>
              <w:ind w:left="459" w:right="-108" w:firstLine="76"/>
              <w:rPr>
                <w:szCs w:val="28"/>
              </w:rPr>
            </w:pPr>
            <w:r w:rsidRPr="00C863D5">
              <w:rPr>
                <w:szCs w:val="28"/>
              </w:rPr>
              <w:t xml:space="preserve"> «___» ___________ 202</w:t>
            </w:r>
            <w:r w:rsidR="00FB469D" w:rsidRPr="00C863D5">
              <w:rPr>
                <w:szCs w:val="28"/>
              </w:rPr>
              <w:t>1</w:t>
            </w:r>
            <w:r w:rsidRPr="00C863D5">
              <w:rPr>
                <w:szCs w:val="28"/>
              </w:rPr>
              <w:t xml:space="preserve"> г.</w:t>
            </w:r>
          </w:p>
        </w:tc>
      </w:tr>
    </w:tbl>
    <w:p w:rsidR="00556626" w:rsidRDefault="00556626" w:rsidP="0039084C">
      <w:pPr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556626" w:rsidSect="0039084C">
      <w:headerReference w:type="default" r:id="rId7"/>
      <w:footerReference w:type="default" r:id="rId8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176" w:rsidRDefault="00EF5176">
      <w:r>
        <w:separator/>
      </w:r>
    </w:p>
  </w:endnote>
  <w:endnote w:type="continuationSeparator" w:id="0">
    <w:p w:rsidR="00EF5176" w:rsidRDefault="00EF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BB" w:rsidRDefault="003E323A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176" w:rsidRDefault="00EF5176">
      <w:r>
        <w:separator/>
      </w:r>
    </w:p>
  </w:footnote>
  <w:footnote w:type="continuationSeparator" w:id="0">
    <w:p w:rsidR="00EF5176" w:rsidRDefault="00EF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29140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8761D" w:rsidRPr="002238C5" w:rsidRDefault="006B68B4">
        <w:pPr>
          <w:pStyle w:val="a3"/>
          <w:jc w:val="center"/>
          <w:rPr>
            <w:sz w:val="20"/>
            <w:szCs w:val="20"/>
          </w:rPr>
        </w:pPr>
        <w:r w:rsidRPr="002238C5">
          <w:rPr>
            <w:sz w:val="20"/>
            <w:szCs w:val="20"/>
          </w:rPr>
          <w:fldChar w:fldCharType="begin"/>
        </w:r>
        <w:r w:rsidRPr="002238C5">
          <w:rPr>
            <w:sz w:val="20"/>
            <w:szCs w:val="20"/>
          </w:rPr>
          <w:instrText>PAGE   \* MERGEFORMAT</w:instrText>
        </w:r>
        <w:r w:rsidRPr="002238C5">
          <w:rPr>
            <w:sz w:val="20"/>
            <w:szCs w:val="20"/>
          </w:rPr>
          <w:fldChar w:fldCharType="separate"/>
        </w:r>
        <w:r w:rsidR="003E323A">
          <w:rPr>
            <w:noProof/>
            <w:sz w:val="20"/>
            <w:szCs w:val="20"/>
          </w:rPr>
          <w:t>3</w:t>
        </w:r>
        <w:r w:rsidRPr="002238C5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06C27"/>
    <w:multiLevelType w:val="hybridMultilevel"/>
    <w:tmpl w:val="080C1792"/>
    <w:lvl w:ilvl="0" w:tplc="6800526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8B"/>
    <w:rsid w:val="000E48F5"/>
    <w:rsid w:val="00134C14"/>
    <w:rsid w:val="001A08DD"/>
    <w:rsid w:val="001E070A"/>
    <w:rsid w:val="001F7C83"/>
    <w:rsid w:val="00233C8B"/>
    <w:rsid w:val="002745F4"/>
    <w:rsid w:val="002A39C1"/>
    <w:rsid w:val="0039084C"/>
    <w:rsid w:val="003E323A"/>
    <w:rsid w:val="004047CD"/>
    <w:rsid w:val="004945F3"/>
    <w:rsid w:val="00556626"/>
    <w:rsid w:val="00573A29"/>
    <w:rsid w:val="005A680E"/>
    <w:rsid w:val="005C1451"/>
    <w:rsid w:val="00694F0A"/>
    <w:rsid w:val="006B68B4"/>
    <w:rsid w:val="00786F0C"/>
    <w:rsid w:val="007D7B96"/>
    <w:rsid w:val="009B149B"/>
    <w:rsid w:val="009C129A"/>
    <w:rsid w:val="00A06A40"/>
    <w:rsid w:val="00A432C0"/>
    <w:rsid w:val="00B0591C"/>
    <w:rsid w:val="00C863D5"/>
    <w:rsid w:val="00CA1505"/>
    <w:rsid w:val="00EF5176"/>
    <w:rsid w:val="00FB469D"/>
    <w:rsid w:val="00FC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D54F"/>
  <w15:chartTrackingRefBased/>
  <w15:docId w15:val="{5B36E2C1-5E9C-4773-9100-C8445B62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6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2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566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6626"/>
    <w:rPr>
      <w:rFonts w:ascii="Times New Roman" w:hAnsi="Times New Roman"/>
      <w:sz w:val="28"/>
    </w:rPr>
  </w:style>
  <w:style w:type="character" w:customStyle="1" w:styleId="a7">
    <w:name w:val="Без интервала Знак"/>
    <w:aliases w:val="Кр. строка Знак"/>
    <w:basedOn w:val="a0"/>
    <w:link w:val="a8"/>
    <w:locked/>
    <w:rsid w:val="00556626"/>
    <w:rPr>
      <w:sz w:val="24"/>
      <w:szCs w:val="24"/>
    </w:rPr>
  </w:style>
  <w:style w:type="paragraph" w:styleId="a8">
    <w:name w:val="No Spacing"/>
    <w:aliases w:val="Кр. строка"/>
    <w:link w:val="a7"/>
    <w:qFormat/>
    <w:rsid w:val="00556626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rsid w:val="005566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4F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4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22</cp:revision>
  <cp:lastPrinted>2020-09-02T06:12:00Z</cp:lastPrinted>
  <dcterms:created xsi:type="dcterms:W3CDTF">2020-08-12T06:04:00Z</dcterms:created>
  <dcterms:modified xsi:type="dcterms:W3CDTF">2021-06-17T07:21:00Z</dcterms:modified>
</cp:coreProperties>
</file>