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6B" w:rsidRPr="00C25ABA" w:rsidRDefault="0007736B" w:rsidP="0007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ИНФОРМАЦИЯ</w:t>
      </w:r>
    </w:p>
    <w:p w:rsidR="0007736B" w:rsidRPr="00C25ABA" w:rsidRDefault="0007736B" w:rsidP="0007736B">
      <w:pP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  <w:lang w:eastAsia="en-US"/>
        </w:rPr>
      </w:pPr>
      <w:r w:rsidRPr="00C25ABA">
        <w:rPr>
          <w:rFonts w:ascii="Times New Roman" w:eastAsia="Times New Roman" w:hAnsi="Times New Roman" w:cs="Times New Roman"/>
          <w:color w:val="002060"/>
          <w:sz w:val="28"/>
          <w:szCs w:val="28"/>
        </w:rPr>
        <w:t>о практиках, способствующих достижению наилучших значений показателей оценки эффективности деятельности органов местного самоуправления муниципального образования городской округ Сургут</w:t>
      </w:r>
    </w:p>
    <w:p w:rsidR="00740D2F" w:rsidRPr="00C25ABA" w:rsidRDefault="0007736B" w:rsidP="0007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25ABA">
        <w:rPr>
          <w:rFonts w:ascii="Times New Roman" w:hAnsi="Times New Roman" w:cs="Times New Roman"/>
          <w:bCs/>
          <w:color w:val="002060"/>
          <w:sz w:val="28"/>
          <w:szCs w:val="28"/>
          <w:lang w:eastAsia="en-US"/>
        </w:rPr>
        <w:t>Ханты-Мансийского автономного округа – Югры,</w:t>
      </w:r>
      <w:r w:rsidRPr="00C25AB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07736B" w:rsidRPr="00C25ABA" w:rsidRDefault="0007736B" w:rsidP="0007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color w:val="002060"/>
          <w:sz w:val="28"/>
          <w:szCs w:val="28"/>
        </w:rPr>
        <w:t>за 202</w:t>
      </w:r>
      <w:r w:rsidR="00F610A1" w:rsidRPr="00C25ABA">
        <w:rPr>
          <w:rFonts w:ascii="Times New Roman" w:eastAsia="Times New Roman" w:hAnsi="Times New Roman" w:cs="Times New Roman"/>
          <w:color w:val="002060"/>
          <w:sz w:val="28"/>
          <w:szCs w:val="28"/>
        </w:rPr>
        <w:t>2</w:t>
      </w:r>
      <w:r w:rsidRPr="00C25AB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год</w:t>
      </w:r>
    </w:p>
    <w:p w:rsidR="0007736B" w:rsidRPr="00C25ABA" w:rsidRDefault="0007736B" w:rsidP="000773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F610A1" w:rsidRPr="00C25ABA" w:rsidRDefault="0007736B" w:rsidP="00F610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25ABA">
        <w:rPr>
          <w:rFonts w:ascii="Times New Roman" w:hAnsi="Times New Roman" w:cs="Times New Roman"/>
          <w:bCs/>
          <w:sz w:val="28"/>
          <w:szCs w:val="28"/>
        </w:rPr>
        <w:t xml:space="preserve">Правительством Ханты-Мансийского автономного округа – Югры принято распоряжение от </w:t>
      </w:r>
      <w:r w:rsidR="00F610A1" w:rsidRPr="00C25ABA">
        <w:rPr>
          <w:rFonts w:ascii="Times New Roman" w:hAnsi="Times New Roman" w:cs="Times New Roman"/>
          <w:bCs/>
          <w:sz w:val="28"/>
          <w:szCs w:val="28"/>
        </w:rPr>
        <w:t>31</w:t>
      </w:r>
      <w:r w:rsidRPr="00C25ABA">
        <w:rPr>
          <w:rFonts w:ascii="Times New Roman" w:hAnsi="Times New Roman" w:cs="Times New Roman"/>
          <w:bCs/>
          <w:sz w:val="28"/>
          <w:szCs w:val="28"/>
        </w:rPr>
        <w:t>.07.202</w:t>
      </w:r>
      <w:r w:rsidR="00F610A1" w:rsidRPr="00C25ABA">
        <w:rPr>
          <w:rFonts w:ascii="Times New Roman" w:hAnsi="Times New Roman" w:cs="Times New Roman"/>
          <w:bCs/>
          <w:sz w:val="28"/>
          <w:szCs w:val="28"/>
        </w:rPr>
        <w:t>3</w:t>
      </w:r>
      <w:r w:rsidRPr="00C25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10A1" w:rsidRPr="00C25ABA">
        <w:rPr>
          <w:rFonts w:ascii="Times New Roman" w:hAnsi="Times New Roman" w:cs="Times New Roman"/>
          <w:bCs/>
          <w:sz w:val="28"/>
          <w:szCs w:val="28"/>
        </w:rPr>
        <w:t>№ 517-рп «</w:t>
      </w:r>
      <w:r w:rsidR="00F610A1"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>О сводном докладе Ханты-Мансийского автономного округа – Югры о результатах мониторинга эффективности деятельности органов местного самоуправления городских округов и муниципальных районов Ханты-Мансийского автономного округа – Югры за 2022 год и распределении грантов городским округам и муниципальным районам Ханты-Мансийского автономного округа – Югры, достигшим наилучших значений показателей эффективности деятельности».</w:t>
      </w:r>
    </w:p>
    <w:p w:rsidR="0007736B" w:rsidRPr="00C25ABA" w:rsidRDefault="0007736B" w:rsidP="00F61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bCs/>
          <w:sz w:val="28"/>
          <w:szCs w:val="28"/>
        </w:rPr>
        <w:t>Мониторинг эффективности деятельности органов местного самоуправления городских округов и муниципальных районов проводился по 41 показателю оценки эффективности, из них на основе сводных индексов значений 13 показателей осуществлена оценки результативности и распределение грантов.</w:t>
      </w:r>
    </w:p>
    <w:p w:rsidR="0007736B" w:rsidRPr="00C25ABA" w:rsidRDefault="0007736B" w:rsidP="000773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  <w:lang w:eastAsia="en-US"/>
        </w:rPr>
        <w:t>Мониторинг эффективности деятельности органов местного самоуправления осуществляется на основании сводных</w:t>
      </w:r>
      <w:r w:rsidRPr="00C25ABA">
        <w:rPr>
          <w:rFonts w:ascii="Times New Roman" w:hAnsi="Times New Roman" w:cs="Times New Roman"/>
          <w:bCs/>
          <w:sz w:val="28"/>
          <w:szCs w:val="28"/>
        </w:rPr>
        <w:t xml:space="preserve"> индексов значений</w:t>
      </w:r>
      <w:r w:rsidRPr="00C25ABA">
        <w:rPr>
          <w:rFonts w:ascii="Times New Roman" w:hAnsi="Times New Roman" w:cs="Times New Roman"/>
          <w:sz w:val="28"/>
          <w:szCs w:val="28"/>
          <w:lang w:eastAsia="en-US"/>
        </w:rPr>
        <w:t xml:space="preserve"> показателей оценки эффективности, которые, в свою очередь, </w:t>
      </w:r>
      <w:r w:rsidRPr="00C25ABA">
        <w:rPr>
          <w:rFonts w:ascii="Times New Roman" w:hAnsi="Times New Roman" w:cs="Times New Roman"/>
          <w:bCs/>
          <w:sz w:val="28"/>
          <w:szCs w:val="28"/>
        </w:rPr>
        <w:t>рассчитываются с учетом удельного веса 60% для достигнутой динамики и 40% для достигнутого объема при трехлетней динамике используемых показателей.</w:t>
      </w:r>
    </w:p>
    <w:p w:rsidR="00D97535" w:rsidRPr="00C25ABA" w:rsidRDefault="0007736B" w:rsidP="000773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25ABA">
        <w:rPr>
          <w:rFonts w:ascii="Times New Roman" w:hAnsi="Times New Roman" w:cs="Times New Roman"/>
          <w:bCs/>
          <w:sz w:val="28"/>
          <w:szCs w:val="28"/>
        </w:rPr>
        <w:t xml:space="preserve">Оценка по показателям, используемым для определения размера грантов, осуществлялась с учетом весовых коэффициентов: 20% </w:t>
      </w:r>
      <w:r w:rsidR="00EF49E2" w:rsidRPr="00C25ABA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C25ABA">
        <w:rPr>
          <w:rFonts w:ascii="Times New Roman" w:hAnsi="Times New Roman" w:cs="Times New Roman"/>
          <w:bCs/>
          <w:sz w:val="28"/>
          <w:szCs w:val="28"/>
        </w:rPr>
        <w:t xml:space="preserve"> для сводного индекса значения показателя «Удовлетворенность населения деятельностью органов местного самоуправления», 80% </w:t>
      </w:r>
      <w:r w:rsidR="00EF49E2" w:rsidRPr="00C25ABA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C25ABA">
        <w:rPr>
          <w:rFonts w:ascii="Times New Roman" w:hAnsi="Times New Roman" w:cs="Times New Roman"/>
          <w:bCs/>
          <w:sz w:val="28"/>
          <w:szCs w:val="28"/>
        </w:rPr>
        <w:t xml:space="preserve"> для сводных индексов значений 12 показателей результативности. </w:t>
      </w:r>
      <w:r w:rsidR="00EF49E2" w:rsidRPr="00C25ABA">
        <w:rPr>
          <w:rFonts w:ascii="Times New Roman" w:hAnsi="Times New Roman" w:cs="Times New Roman"/>
          <w:bCs/>
          <w:sz w:val="28"/>
          <w:szCs w:val="28"/>
        </w:rPr>
        <w:t xml:space="preserve">Кроме того, </w:t>
      </w:r>
      <w:r w:rsidR="000E5A1D" w:rsidRPr="00C25ABA">
        <w:rPr>
          <w:rFonts w:ascii="Times New Roman" w:hAnsi="Times New Roman" w:cs="Times New Roman"/>
          <w:bCs/>
          <w:sz w:val="28"/>
          <w:szCs w:val="28"/>
        </w:rPr>
        <w:t xml:space="preserve">с 2018 года расчет производится с учетом </w:t>
      </w:r>
      <w:r w:rsidR="000E5A1D"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рейтинга муниципальных образований по обеспечению благоприятного инвестиционного климата и содействию развитию конкуренции, с 2022 года – с учетом рейтинга </w:t>
      </w:r>
      <w:r w:rsidR="000E5A1D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образований автономного округа по реализации механизмов поддержки социально ориентированных некоммерческих организаций 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</w:t>
      </w:r>
      <w:r w:rsidR="000E5A1D"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задолженности организаций за потребленные топливно-энергетические ресурсы </w:t>
      </w:r>
      <w:r w:rsidR="000E5A1D" w:rsidRPr="00C25ABA">
        <w:rPr>
          <w:rFonts w:ascii="Times New Roman" w:hAnsi="Times New Roman" w:cs="Times New Roman"/>
          <w:sz w:val="28"/>
          <w:szCs w:val="28"/>
        </w:rPr>
        <w:t>перед гарантирующими поставщиками</w:t>
      </w:r>
      <w:r w:rsidR="000E5A1D"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 состоянию на </w:t>
      </w:r>
      <w:r w:rsidR="00B3728C"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>1 октября</w:t>
      </w:r>
      <w:r w:rsidR="000E5A1D"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D97535"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07736B" w:rsidRPr="00C25ABA" w:rsidRDefault="0007736B" w:rsidP="0007736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C25ABA">
        <w:rPr>
          <w:rFonts w:ascii="Times New Roman" w:hAnsi="Times New Roman" w:cs="Times New Roman"/>
          <w:sz w:val="28"/>
          <w:szCs w:val="28"/>
          <w:lang w:eastAsia="en-US"/>
        </w:rPr>
        <w:t>Общий объем грантов за 202</w:t>
      </w:r>
      <w:r w:rsidR="00EF49E2" w:rsidRPr="00C25ABA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C25ABA">
        <w:rPr>
          <w:rFonts w:ascii="Times New Roman" w:hAnsi="Times New Roman" w:cs="Times New Roman"/>
          <w:sz w:val="28"/>
          <w:szCs w:val="28"/>
          <w:lang w:eastAsia="en-US"/>
        </w:rPr>
        <w:t xml:space="preserve"> год – 100 млн. рублей.</w:t>
      </w:r>
    </w:p>
    <w:p w:rsidR="00D97535" w:rsidRPr="00C25ABA" w:rsidRDefault="00D97535" w:rsidP="00D97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оценке эффективности деятельности органов местного самоуправления муниципальных образований </w:t>
      </w:r>
      <w:r w:rsidRPr="00C25ABA"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– Югры</w:t>
      </w:r>
      <w:r w:rsidRPr="00C25ABA">
        <w:rPr>
          <w:rFonts w:ascii="Times New Roman" w:eastAsia="Times New Roman" w:hAnsi="Times New Roman" w:cs="Times New Roman"/>
          <w:sz w:val="28"/>
          <w:szCs w:val="28"/>
        </w:rPr>
        <w:t xml:space="preserve"> размещена:</w:t>
      </w:r>
    </w:p>
    <w:p w:rsidR="00D97535" w:rsidRPr="00C25ABA" w:rsidRDefault="00D97535" w:rsidP="00D97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sz w:val="28"/>
          <w:szCs w:val="28"/>
        </w:rPr>
        <w:t>сайт АИС «Мониторинг Югра»: «Оценка эффективности деятельности органов местного самоуправления»: http://monitoring.admhmao.ru/sections/omsu/;</w:t>
      </w:r>
    </w:p>
    <w:p w:rsidR="00D97535" w:rsidRPr="00C25ABA" w:rsidRDefault="00D97535" w:rsidP="00D97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сайт Департамента экономического развития </w:t>
      </w:r>
      <w:r w:rsidRPr="00C25ABA">
        <w:rPr>
          <w:rFonts w:ascii="Times New Roman" w:hAnsi="Times New Roman" w:cs="Times New Roman"/>
          <w:bCs/>
          <w:sz w:val="28"/>
          <w:szCs w:val="28"/>
        </w:rPr>
        <w:t>Ханты-Мансийского автономного округа – Югры</w:t>
      </w:r>
      <w:r w:rsidRPr="00C25ABA">
        <w:rPr>
          <w:rFonts w:ascii="Times New Roman" w:eastAsia="Times New Roman" w:hAnsi="Times New Roman" w:cs="Times New Roman"/>
          <w:sz w:val="28"/>
          <w:szCs w:val="28"/>
        </w:rPr>
        <w:t>: «Деятельность» - «Оценка эффективности деятельности органов местного самоуправления»: https://depeconom.admhmao.ru/deyatelnost/otsenka-effektivnosti-deyatelnosti-organov-msu/.</w:t>
      </w:r>
    </w:p>
    <w:p w:rsidR="00F610A1" w:rsidRPr="00C25ABA" w:rsidRDefault="00F610A1" w:rsidP="00F610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5ABA">
        <w:rPr>
          <w:rFonts w:ascii="Times New Roman" w:hAnsi="Times New Roman" w:cs="Times New Roman"/>
          <w:bCs/>
          <w:sz w:val="28"/>
          <w:szCs w:val="28"/>
        </w:rPr>
        <w:t>По итогам 2022 года город Сургут:</w:t>
      </w:r>
    </w:p>
    <w:p w:rsidR="00F610A1" w:rsidRPr="00C25ABA" w:rsidRDefault="00F610A1" w:rsidP="00F610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AB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 результатам комплексной оценки эффективности деятельности органов местного самоуправления муниципальных образований по показателям </w:t>
      </w:r>
      <w:r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br/>
        <w:t>(13 показателей), используемым для определения размера грантов (с учетом рейтинга муниципальных образований по обеспечению благоприятного инвестиционного климата и содействию развитию конкуренции, рейтинга по СОНКО, задолженности организаций за потребленные ТЭР по состоянию на 01.10.2022) повысил</w:t>
      </w:r>
      <w:r w:rsidRPr="00C25ABA">
        <w:rPr>
          <w:rFonts w:ascii="Times New Roman" w:hAnsi="Times New Roman" w:cs="Times New Roman"/>
          <w:bCs/>
          <w:sz w:val="28"/>
          <w:szCs w:val="28"/>
        </w:rPr>
        <w:t xml:space="preserve"> позицию </w:t>
      </w:r>
      <w:r w:rsidR="00D97535" w:rsidRPr="00C25ABA"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C25ABA">
        <w:rPr>
          <w:rFonts w:ascii="Times New Roman" w:hAnsi="Times New Roman" w:cs="Times New Roman"/>
          <w:bCs/>
          <w:sz w:val="28"/>
          <w:szCs w:val="28"/>
        </w:rPr>
        <w:t>в рейтинге на 1 пункт – 16 место (2021 год – 17 место);</w:t>
      </w:r>
    </w:p>
    <w:p w:rsidR="00F610A1" w:rsidRPr="00C25ABA" w:rsidRDefault="00F610A1" w:rsidP="00F610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25ABA">
        <w:rPr>
          <w:rFonts w:ascii="Times New Roman" w:hAnsi="Times New Roman" w:cs="Times New Roman"/>
          <w:bCs/>
          <w:sz w:val="28"/>
          <w:szCs w:val="28"/>
        </w:rPr>
        <w:t>- по результатам мониторинга эффективности деятельности органов местного самоуправления городских округов и муниципальных районов (41 показатель) понизил позицию в рейтинге на 9 пунктов – 20 место (2021 год – 11 место).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sz w:val="28"/>
          <w:szCs w:val="28"/>
        </w:rPr>
        <w:t>По итогам мониторинга за 202</w:t>
      </w:r>
      <w:r w:rsidR="00116854" w:rsidRPr="00C25AB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5ABA">
        <w:rPr>
          <w:rFonts w:ascii="Times New Roman" w:eastAsia="Times New Roman" w:hAnsi="Times New Roman" w:cs="Times New Roman"/>
          <w:sz w:val="28"/>
          <w:szCs w:val="28"/>
        </w:rPr>
        <w:t xml:space="preserve"> год Сургут </w:t>
      </w:r>
      <w:r w:rsidRPr="00C25ABA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вошел в тройку лидеров </w:t>
      </w:r>
      <w:r w:rsidRPr="00C25ABA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по следующим показателям оценки эффективности </w:t>
      </w:r>
      <w:r w:rsidRPr="00C25ABA">
        <w:rPr>
          <w:rFonts w:ascii="Times New Roman" w:hAnsi="Times New Roman" w:cs="Times New Roman"/>
          <w:bCs/>
          <w:sz w:val="28"/>
          <w:szCs w:val="28"/>
        </w:rPr>
        <w:t>деятельности органов местного самоуправления</w:t>
      </w:r>
      <w:r w:rsidRPr="00C25A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6854" w:rsidRPr="00C25ABA" w:rsidRDefault="00116854" w:rsidP="0011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- </w:t>
      </w:r>
      <w:r w:rsidRPr="00C25ABA">
        <w:rPr>
          <w:rFonts w:ascii="Times New Roman" w:hAnsi="Times New Roman" w:cs="Times New Roman"/>
          <w:sz w:val="28"/>
          <w:szCs w:val="28"/>
          <w:lang w:eastAsia="en-US"/>
        </w:rPr>
        <w:t xml:space="preserve">№ 1 «Число субъектов малого и среднего предпринимательства </w:t>
      </w:r>
      <w:r w:rsidRPr="00C25ABA"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10 тыс. человек населения»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>–</w:t>
      </w:r>
      <w:r w:rsidRPr="00C25ABA">
        <w:rPr>
          <w:rFonts w:ascii="Times New Roman" w:hAnsi="Times New Roman" w:cs="Times New Roman"/>
          <w:sz w:val="28"/>
          <w:szCs w:val="28"/>
          <w:lang w:eastAsia="en-US"/>
        </w:rPr>
        <w:t xml:space="preserve"> 1 место по сводному индексу показателя;</w:t>
      </w:r>
    </w:p>
    <w:p w:rsidR="00116854" w:rsidRPr="00C25ABA" w:rsidRDefault="00116854" w:rsidP="0011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- </w:t>
      </w:r>
      <w:r w:rsidRPr="00C25ABA">
        <w:rPr>
          <w:rFonts w:ascii="Times New Roman" w:hAnsi="Times New Roman" w:cs="Times New Roman"/>
          <w:sz w:val="28"/>
          <w:szCs w:val="28"/>
          <w:lang w:eastAsia="en-US"/>
        </w:rPr>
        <w:t>№ 7 «</w:t>
      </w:r>
      <w:r w:rsidRPr="00C25ABA">
        <w:rPr>
          <w:rFonts w:ascii="Times New Roman" w:hAnsi="Times New Roman" w:cs="Times New Roman"/>
          <w:sz w:val="28"/>
          <w:szCs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</w:r>
      <w:r w:rsidRPr="00C25ABA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>–</w:t>
      </w:r>
      <w:r w:rsidRPr="00C25ABA">
        <w:rPr>
          <w:rFonts w:ascii="Times New Roman" w:hAnsi="Times New Roman" w:cs="Times New Roman"/>
          <w:sz w:val="28"/>
          <w:szCs w:val="28"/>
          <w:lang w:eastAsia="en-US"/>
        </w:rPr>
        <w:t xml:space="preserve"> 1 место по сводному индексу показателя;</w:t>
      </w:r>
    </w:p>
    <w:p w:rsidR="00116854" w:rsidRPr="00C25ABA" w:rsidRDefault="00116854" w:rsidP="0011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- № 8.6 «Среднемесячная номинальная начисленная заработная плата работников муниципальных учреждений физической культуры и спорта»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>–</w:t>
      </w:r>
      <w:r w:rsidRPr="00C25ABA">
        <w:rPr>
          <w:rFonts w:ascii="Times New Roman" w:hAnsi="Times New Roman" w:cs="Times New Roman"/>
          <w:sz w:val="28"/>
          <w:szCs w:val="28"/>
        </w:rPr>
        <w:t xml:space="preserve"> </w:t>
      </w:r>
      <w:r w:rsidRPr="00C25ABA">
        <w:rPr>
          <w:rFonts w:ascii="Times New Roman" w:hAnsi="Times New Roman" w:cs="Times New Roman"/>
          <w:sz w:val="28"/>
          <w:szCs w:val="28"/>
        </w:rPr>
        <w:br/>
        <w:t>3 место по сводному индексу показателя;</w:t>
      </w:r>
    </w:p>
    <w:p w:rsidR="00116854" w:rsidRPr="00C25ABA" w:rsidRDefault="00116854" w:rsidP="0011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- № 16 «Доля детей первой и второй групп здоровья в общей численности обучающихся в муниципальных общеобразовательных учреждениях»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>–</w:t>
      </w:r>
      <w:r w:rsidRPr="00C25ABA">
        <w:rPr>
          <w:rFonts w:ascii="Times New Roman" w:hAnsi="Times New Roman" w:cs="Times New Roman"/>
          <w:sz w:val="28"/>
          <w:szCs w:val="28"/>
        </w:rPr>
        <w:t xml:space="preserve"> </w:t>
      </w:r>
      <w:r w:rsidRPr="00C25ABA">
        <w:rPr>
          <w:rFonts w:ascii="Times New Roman" w:hAnsi="Times New Roman" w:cs="Times New Roman"/>
          <w:sz w:val="28"/>
          <w:szCs w:val="28"/>
        </w:rPr>
        <w:br/>
        <w:t>3 место по сводному индексу показателя;</w:t>
      </w:r>
    </w:p>
    <w:p w:rsidR="00116854" w:rsidRPr="00C25ABA" w:rsidRDefault="00116854" w:rsidP="0011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- № 20 «Уровень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отдыха»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C25ABA">
        <w:rPr>
          <w:rFonts w:ascii="Times New Roman" w:hAnsi="Times New Roman" w:cs="Times New Roman"/>
          <w:sz w:val="28"/>
          <w:szCs w:val="28"/>
        </w:rPr>
        <w:t>3 место по сводному индексу показателя;</w:t>
      </w:r>
    </w:p>
    <w:p w:rsidR="00116854" w:rsidRPr="00C25ABA" w:rsidRDefault="00116854" w:rsidP="0011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- № 22 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собственности»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>–</w:t>
      </w:r>
      <w:r w:rsidRPr="00C25ABA">
        <w:rPr>
          <w:rFonts w:ascii="Times New Roman" w:hAnsi="Times New Roman" w:cs="Times New Roman"/>
          <w:sz w:val="28"/>
          <w:szCs w:val="28"/>
        </w:rPr>
        <w:t xml:space="preserve"> </w:t>
      </w:r>
      <w:r w:rsidRPr="00C25ABA">
        <w:rPr>
          <w:rFonts w:ascii="Times New Roman" w:hAnsi="Times New Roman" w:cs="Times New Roman"/>
          <w:sz w:val="28"/>
          <w:szCs w:val="28"/>
        </w:rPr>
        <w:br/>
        <w:t>1 место по сводному индексу показателя;</w:t>
      </w:r>
    </w:p>
    <w:p w:rsidR="00116854" w:rsidRPr="00C25ABA" w:rsidRDefault="00116854" w:rsidP="0011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- № 35 «Расходы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образования»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>–</w:t>
      </w:r>
      <w:r w:rsidRPr="00C25ABA">
        <w:rPr>
          <w:rFonts w:ascii="Times New Roman" w:hAnsi="Times New Roman" w:cs="Times New Roman"/>
          <w:sz w:val="28"/>
          <w:szCs w:val="28"/>
        </w:rPr>
        <w:t xml:space="preserve"> 3 место по сводному индексу показателя;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- № 38 «Среднегодовая численность постоянного населения»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>–</w:t>
      </w:r>
      <w:r w:rsidRPr="00C25ABA">
        <w:rPr>
          <w:rFonts w:ascii="Times New Roman" w:hAnsi="Times New Roman" w:cs="Times New Roman"/>
          <w:sz w:val="28"/>
          <w:szCs w:val="28"/>
        </w:rPr>
        <w:t xml:space="preserve"> 1 место </w:t>
      </w:r>
      <w:r w:rsidR="00740D2F" w:rsidRPr="00C25ABA">
        <w:rPr>
          <w:rFonts w:ascii="Times New Roman" w:hAnsi="Times New Roman" w:cs="Times New Roman"/>
          <w:sz w:val="28"/>
          <w:szCs w:val="28"/>
        </w:rPr>
        <w:br/>
        <w:t>по сводному индексу показателя.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736B" w:rsidRPr="00C25ABA" w:rsidRDefault="0007736B" w:rsidP="0007736B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</w:pPr>
      <w:r w:rsidRPr="00C25ABA">
        <w:rPr>
          <w:rFonts w:ascii="Times New Roman" w:hAnsi="Times New Roman" w:cs="Times New Roman"/>
          <w:b/>
          <w:color w:val="1F3864" w:themeColor="accent5" w:themeShade="80"/>
          <w:sz w:val="28"/>
          <w:szCs w:val="28"/>
          <w:shd w:val="clear" w:color="auto" w:fill="FFFFFF"/>
        </w:rPr>
        <w:lastRenderedPageBreak/>
        <w:t>Лучшие примеры деятельности</w:t>
      </w:r>
    </w:p>
    <w:p w:rsidR="0007736B" w:rsidRPr="00C25ABA" w:rsidRDefault="0007736B" w:rsidP="0007736B">
      <w:pPr>
        <w:spacing w:after="0" w:line="24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C25AB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муниципального образования городской округ Сургут Ханты-Мансийского автономного округа – Югры по достижению наилучших значений показателей</w:t>
      </w:r>
    </w:p>
    <w:p w:rsidR="0007736B" w:rsidRPr="00C25ABA" w:rsidRDefault="0007736B" w:rsidP="0007736B">
      <w:pPr>
        <w:spacing w:after="0" w:line="240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</w:pPr>
      <w:r w:rsidRPr="00C25AB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по итогам оценки эффективности деятельности органов местного самоуправления </w:t>
      </w:r>
    </w:p>
    <w:p w:rsidR="0007736B" w:rsidRPr="00C25ABA" w:rsidRDefault="0007736B" w:rsidP="000773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</w:rPr>
      </w:pPr>
      <w:r w:rsidRPr="00C25AB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городских округов и муниципальных районов за 202</w:t>
      </w:r>
      <w:r w:rsidR="00DE3CF2" w:rsidRPr="00C25AB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>2</w:t>
      </w:r>
      <w:r w:rsidRPr="00C25ABA">
        <w:rPr>
          <w:rFonts w:ascii="Times New Roman" w:hAnsi="Times New Roman" w:cs="Times New Roman"/>
          <w:color w:val="1F3864" w:themeColor="accent5" w:themeShade="80"/>
          <w:sz w:val="28"/>
          <w:szCs w:val="28"/>
          <w:shd w:val="clear" w:color="auto" w:fill="FFFFFF"/>
        </w:rPr>
        <w:t xml:space="preserve"> год</w:t>
      </w:r>
    </w:p>
    <w:p w:rsidR="0007736B" w:rsidRPr="00C25ABA" w:rsidRDefault="0007736B" w:rsidP="000773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  <w:lang w:eastAsia="en-US"/>
        </w:rPr>
      </w:pPr>
      <w:r w:rsidRPr="00C25ABA">
        <w:rPr>
          <w:rFonts w:ascii="Times New Roman" w:hAnsi="Times New Roman" w:cs="Times New Roman"/>
          <w:i/>
          <w:color w:val="002060"/>
          <w:sz w:val="28"/>
          <w:szCs w:val="28"/>
          <w:lang w:eastAsia="en-US"/>
        </w:rPr>
        <w:t xml:space="preserve">1) Показатель № 1 «Число субъектов малого и среднего предпринимательства на 10 тыс. человек населения» </w:t>
      </w:r>
      <w:r w:rsidR="00DE3CF2" w:rsidRPr="00C25AB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–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  <w:lang w:eastAsia="en-US"/>
        </w:rPr>
        <w:t xml:space="preserve"> </w:t>
      </w:r>
      <w:r w:rsidR="00DE3CF2" w:rsidRPr="00C25ABA">
        <w:rPr>
          <w:rFonts w:ascii="Times New Roman" w:hAnsi="Times New Roman" w:cs="Times New Roman"/>
          <w:i/>
          <w:color w:val="002060"/>
          <w:sz w:val="28"/>
          <w:szCs w:val="28"/>
          <w:lang w:eastAsia="en-US"/>
        </w:rPr>
        <w:t>1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  <w:lang w:eastAsia="en-US"/>
        </w:rPr>
        <w:t xml:space="preserve"> место по сводному индексу показателя.</w:t>
      </w:r>
    </w:p>
    <w:p w:rsidR="0007736B" w:rsidRPr="00C25ABA" w:rsidRDefault="00BD6258" w:rsidP="00077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1</w:t>
      </w:r>
      <w:r w:rsidR="0007736B" w:rsidRPr="00C25ABA">
        <w:rPr>
          <w:rFonts w:ascii="Times New Roman" w:hAnsi="Times New Roman" w:cs="Times New Roman"/>
          <w:sz w:val="28"/>
          <w:szCs w:val="28"/>
        </w:rPr>
        <w:t xml:space="preserve"> место в рейтинге достигнуто в основном за счет высокого уровня индекса среднего объема показателя за 20</w:t>
      </w:r>
      <w:r w:rsidRPr="00C25ABA">
        <w:rPr>
          <w:rFonts w:ascii="Times New Roman" w:hAnsi="Times New Roman" w:cs="Times New Roman"/>
          <w:sz w:val="28"/>
          <w:szCs w:val="28"/>
        </w:rPr>
        <w:t>20</w:t>
      </w:r>
      <w:r w:rsidR="0007736B" w:rsidRPr="00C25ABA">
        <w:rPr>
          <w:rFonts w:ascii="Times New Roman" w:hAnsi="Times New Roman" w:cs="Times New Roman"/>
          <w:sz w:val="28"/>
          <w:szCs w:val="28"/>
        </w:rPr>
        <w:t xml:space="preserve"> – 202</w:t>
      </w:r>
      <w:r w:rsidRPr="00C25ABA">
        <w:rPr>
          <w:rFonts w:ascii="Times New Roman" w:hAnsi="Times New Roman" w:cs="Times New Roman"/>
          <w:sz w:val="28"/>
          <w:szCs w:val="28"/>
        </w:rPr>
        <w:t>2</w:t>
      </w:r>
      <w:r w:rsidR="0007736B" w:rsidRPr="00C25ABA">
        <w:rPr>
          <w:rFonts w:ascii="Times New Roman" w:hAnsi="Times New Roman" w:cs="Times New Roman"/>
          <w:sz w:val="28"/>
          <w:szCs w:val="28"/>
        </w:rPr>
        <w:t xml:space="preserve"> годы, весовой коэффициент которого при расчете сводного индекса – 40% (</w:t>
      </w:r>
      <w:r w:rsidRPr="00C25ABA">
        <w:rPr>
          <w:rFonts w:ascii="Times New Roman" w:hAnsi="Times New Roman" w:cs="Times New Roman"/>
          <w:sz w:val="28"/>
          <w:szCs w:val="28"/>
        </w:rPr>
        <w:t>2</w:t>
      </w:r>
      <w:r w:rsidR="0007736B" w:rsidRPr="00C25ABA">
        <w:rPr>
          <w:rFonts w:ascii="Times New Roman" w:hAnsi="Times New Roman" w:cs="Times New Roman"/>
          <w:sz w:val="28"/>
          <w:szCs w:val="28"/>
        </w:rPr>
        <w:t xml:space="preserve"> место по индексу среднего объема показателя).</w:t>
      </w:r>
    </w:p>
    <w:p w:rsidR="0007736B" w:rsidRPr="00C25ABA" w:rsidRDefault="0007736B" w:rsidP="00077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Среднее значение объема показателя за 20</w:t>
      </w:r>
      <w:r w:rsidR="00BD6258" w:rsidRPr="00C25ABA">
        <w:rPr>
          <w:rFonts w:ascii="Times New Roman" w:hAnsi="Times New Roman" w:cs="Times New Roman"/>
          <w:sz w:val="28"/>
          <w:szCs w:val="28"/>
        </w:rPr>
        <w:t>20</w:t>
      </w:r>
      <w:r w:rsidRPr="00C25ABA">
        <w:rPr>
          <w:rFonts w:ascii="Times New Roman" w:hAnsi="Times New Roman" w:cs="Times New Roman"/>
          <w:sz w:val="28"/>
          <w:szCs w:val="28"/>
        </w:rPr>
        <w:t xml:space="preserve"> – 202</w:t>
      </w:r>
      <w:r w:rsidR="00BD6258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годы </w:t>
      </w:r>
      <w:r w:rsidR="00BD6258" w:rsidRPr="00C25ABA">
        <w:rPr>
          <w:rFonts w:ascii="Times New Roman" w:hAnsi="Times New Roman" w:cs="Times New Roman"/>
          <w:sz w:val="28"/>
          <w:szCs w:val="28"/>
        </w:rPr>
        <w:t>–</w:t>
      </w:r>
      <w:r w:rsidRPr="00C25ABA">
        <w:rPr>
          <w:rFonts w:ascii="Times New Roman" w:hAnsi="Times New Roman" w:cs="Times New Roman"/>
          <w:sz w:val="28"/>
          <w:szCs w:val="28"/>
        </w:rPr>
        <w:t xml:space="preserve"> 4</w:t>
      </w:r>
      <w:r w:rsidR="00BD6258" w:rsidRPr="00C25ABA">
        <w:rPr>
          <w:rFonts w:ascii="Times New Roman" w:hAnsi="Times New Roman" w:cs="Times New Roman"/>
          <w:sz w:val="28"/>
          <w:szCs w:val="28"/>
        </w:rPr>
        <w:t>26,2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единицы </w:t>
      </w:r>
      <w:r w:rsidR="00BD6258" w:rsidRPr="00C25ABA">
        <w:rPr>
          <w:rFonts w:ascii="Times New Roman" w:hAnsi="Times New Roman" w:cs="Times New Roman"/>
          <w:sz w:val="28"/>
          <w:szCs w:val="28"/>
        </w:rPr>
        <w:br/>
      </w:r>
      <w:r w:rsidRPr="00C25ABA">
        <w:rPr>
          <w:rFonts w:ascii="Times New Roman" w:hAnsi="Times New Roman" w:cs="Times New Roman"/>
          <w:sz w:val="28"/>
          <w:szCs w:val="28"/>
        </w:rPr>
        <w:t>на 10 тыс. человек (20</w:t>
      </w:r>
      <w:r w:rsidR="00BD6258" w:rsidRPr="00C25ABA">
        <w:rPr>
          <w:rFonts w:ascii="Times New Roman" w:hAnsi="Times New Roman" w:cs="Times New Roman"/>
          <w:sz w:val="28"/>
          <w:szCs w:val="28"/>
        </w:rPr>
        <w:t>20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D6258" w:rsidRPr="00C25ABA">
        <w:rPr>
          <w:rFonts w:ascii="Times New Roman" w:hAnsi="Times New Roman" w:cs="Times New Roman"/>
          <w:sz w:val="28"/>
          <w:szCs w:val="28"/>
        </w:rPr>
        <w:t>367</w:t>
      </w:r>
      <w:r w:rsidRPr="00C25ABA">
        <w:rPr>
          <w:rFonts w:ascii="Times New Roman" w:hAnsi="Times New Roman" w:cs="Times New Roman"/>
          <w:sz w:val="28"/>
          <w:szCs w:val="28"/>
        </w:rPr>
        <w:t>, 202</w:t>
      </w:r>
      <w:r w:rsidR="00BD6258" w:rsidRPr="00C25ABA">
        <w:rPr>
          <w:rFonts w:ascii="Times New Roman" w:hAnsi="Times New Roman" w:cs="Times New Roman"/>
          <w:sz w:val="28"/>
          <w:szCs w:val="28"/>
        </w:rPr>
        <w:t>1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 – 45</w:t>
      </w:r>
      <w:r w:rsidR="00BD6258" w:rsidRPr="00C25ABA">
        <w:rPr>
          <w:rFonts w:ascii="Times New Roman" w:hAnsi="Times New Roman" w:cs="Times New Roman"/>
          <w:sz w:val="28"/>
          <w:szCs w:val="28"/>
        </w:rPr>
        <w:t>6,6</w:t>
      </w:r>
      <w:r w:rsidRPr="00C25ABA">
        <w:rPr>
          <w:rFonts w:ascii="Times New Roman" w:hAnsi="Times New Roman" w:cs="Times New Roman"/>
          <w:sz w:val="28"/>
          <w:szCs w:val="28"/>
        </w:rPr>
        <w:t>, 202</w:t>
      </w:r>
      <w:r w:rsidR="00BD6258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 – 45</w:t>
      </w:r>
      <w:r w:rsidR="00BD6258" w:rsidRPr="00C25ABA">
        <w:rPr>
          <w:rFonts w:ascii="Times New Roman" w:hAnsi="Times New Roman" w:cs="Times New Roman"/>
          <w:sz w:val="28"/>
          <w:szCs w:val="28"/>
        </w:rPr>
        <w:t>5,1</w:t>
      </w:r>
      <w:r w:rsidRPr="00C25ABA">
        <w:rPr>
          <w:rFonts w:ascii="Times New Roman" w:hAnsi="Times New Roman" w:cs="Times New Roman"/>
          <w:sz w:val="28"/>
          <w:szCs w:val="28"/>
        </w:rPr>
        <w:t>).</w:t>
      </w:r>
    </w:p>
    <w:p w:rsidR="00BD6258" w:rsidRPr="00C25ABA" w:rsidRDefault="00BD6258" w:rsidP="00BD6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Данные за 2020 год представлены в соответствии с итогами сплошного наблюдения за деятельностью субъектов малого и среднего предпринимательства, </w:t>
      </w:r>
      <w:r w:rsidRPr="00C25ABA">
        <w:rPr>
          <w:rFonts w:ascii="Times New Roman" w:hAnsi="Times New Roman" w:cs="Times New Roman"/>
          <w:sz w:val="28"/>
          <w:szCs w:val="28"/>
        </w:rPr>
        <w:br/>
        <w:t xml:space="preserve">за 2021 и 2022 годы значения показателя сформированы в соответствии с данными Реестра субъектов малого и среднего предпринимательства </w:t>
      </w:r>
      <w:r w:rsidR="00254E4B" w:rsidRPr="00C25ABA">
        <w:rPr>
          <w:rFonts w:ascii="Times New Roman" w:hAnsi="Times New Roman" w:cs="Times New Roman"/>
          <w:sz w:val="28"/>
          <w:szCs w:val="28"/>
        </w:rPr>
        <w:t xml:space="preserve">(далее – МСП) </w:t>
      </w:r>
      <w:r w:rsidRPr="00C25ABA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службы. </w:t>
      </w:r>
    </w:p>
    <w:p w:rsidR="00BD6258" w:rsidRPr="00C25ABA" w:rsidRDefault="00BD6258" w:rsidP="00BD6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Благоприятный деловой климат и интенсивное развитие инфраструктуры города продолжают оставаться основными факторами, способствующими высокому уровню значений показателя. Незначительное снижение значения показателя </w:t>
      </w:r>
      <w:r w:rsidRPr="00C25ABA">
        <w:rPr>
          <w:rFonts w:ascii="Times New Roman" w:hAnsi="Times New Roman" w:cs="Times New Roman"/>
          <w:sz w:val="28"/>
          <w:szCs w:val="28"/>
        </w:rPr>
        <w:br/>
        <w:t xml:space="preserve">за 2022 год обусловлено опережающими темпами роста численности населения </w:t>
      </w:r>
      <w:r w:rsidRPr="00C25ABA">
        <w:rPr>
          <w:rFonts w:ascii="Times New Roman" w:hAnsi="Times New Roman" w:cs="Times New Roman"/>
          <w:sz w:val="28"/>
          <w:szCs w:val="28"/>
        </w:rPr>
        <w:br/>
        <w:t>по сравнению с темпами роста количества субъектов предпринимательства.</w:t>
      </w:r>
    </w:p>
    <w:p w:rsidR="00254E4B" w:rsidRPr="00C25ABA" w:rsidRDefault="00254E4B" w:rsidP="00254E4B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eastAsia="Calibri" w:hAnsi="Times New Roman" w:cs="Times New Roman"/>
          <w:sz w:val="28"/>
          <w:szCs w:val="28"/>
        </w:rPr>
        <w:t>Вновь созданные субъекты малого предпринимательства в основном осуществляют деятельность в сфере торговли (40,3%), строительства (13,9%), предоставления услуг населению (9,8%).</w:t>
      </w:r>
    </w:p>
    <w:p w:rsidR="00254E4B" w:rsidRPr="00C25ABA" w:rsidRDefault="00254E4B" w:rsidP="00254E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noProof/>
          <w:sz w:val="28"/>
          <w:szCs w:val="28"/>
        </w:rPr>
        <w:t xml:space="preserve">Количество плательщиков налога на профессиональный доход по итогам года в 1,6 раза превысило уровень 2021 года и составило более 19,7 тыс. человек. 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Рост </w:t>
      </w:r>
      <w:proofErr w:type="spellStart"/>
      <w:r w:rsidRPr="00C25ABA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 способствует формированию рынка легальных продавцов </w:t>
      </w:r>
      <w:r w:rsidRPr="00C25ABA">
        <w:rPr>
          <w:rFonts w:ascii="Times New Roman" w:eastAsia="Calibri" w:hAnsi="Times New Roman" w:cs="Times New Roman"/>
          <w:sz w:val="28"/>
          <w:szCs w:val="28"/>
        </w:rPr>
        <w:br/>
        <w:t xml:space="preserve">и защищенных покупателей. </w:t>
      </w:r>
    </w:p>
    <w:p w:rsidR="00CC3671" w:rsidRPr="00C25ABA" w:rsidRDefault="00BD6258" w:rsidP="00BD6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В целях содействия развитию </w:t>
      </w:r>
      <w:r w:rsidR="00254E4B" w:rsidRPr="00C25ABA">
        <w:rPr>
          <w:rFonts w:ascii="Times New Roman" w:hAnsi="Times New Roman" w:cs="Times New Roman"/>
          <w:sz w:val="28"/>
          <w:szCs w:val="28"/>
        </w:rPr>
        <w:t>МСП</w:t>
      </w:r>
      <w:r w:rsidRPr="00C25ABA">
        <w:rPr>
          <w:rFonts w:ascii="Times New Roman" w:hAnsi="Times New Roman" w:cs="Times New Roman"/>
          <w:sz w:val="28"/>
          <w:szCs w:val="28"/>
        </w:rPr>
        <w:t xml:space="preserve"> на территории города при Администрации города действует координационный совет по развитию малого и среднего предпринимательства</w:t>
      </w:r>
      <w:r w:rsidR="00CC3671" w:rsidRPr="00C25ABA">
        <w:rPr>
          <w:rFonts w:ascii="Times New Roman" w:hAnsi="Times New Roman" w:cs="Times New Roman"/>
          <w:sz w:val="28"/>
          <w:szCs w:val="28"/>
        </w:rPr>
        <w:t>.</w:t>
      </w:r>
    </w:p>
    <w:p w:rsidR="00CC3671" w:rsidRPr="00C25ABA" w:rsidRDefault="00CC3671" w:rsidP="00CC3671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В рамках национального проекта «Малое и среднее предпринимательство </w:t>
      </w:r>
      <w:r w:rsidRPr="00C25ABA">
        <w:rPr>
          <w:rFonts w:ascii="Times New Roman" w:eastAsia="Calibri" w:hAnsi="Times New Roman" w:cs="Times New Roman"/>
          <w:sz w:val="28"/>
          <w:szCs w:val="28"/>
        </w:rPr>
        <w:br/>
        <w:t xml:space="preserve">и поддержка индивидуальной предпринимательской инициативы» реализуются региональные проекты «Акселерация субъектов малого и среднего предпринимательства» и «Создание условий для легкого старта и комфортного ведения бизнеса». </w:t>
      </w:r>
    </w:p>
    <w:p w:rsidR="00BD6258" w:rsidRPr="00C25ABA" w:rsidRDefault="00CC3671" w:rsidP="00CC367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данных проектов </w:t>
      </w:r>
      <w:r w:rsidR="00BD6258" w:rsidRPr="00C25ABA">
        <w:rPr>
          <w:rFonts w:ascii="Times New Roman" w:hAnsi="Times New Roman" w:cs="Times New Roman"/>
          <w:sz w:val="28"/>
          <w:szCs w:val="28"/>
        </w:rPr>
        <w:t xml:space="preserve">успешно реализуется муниципальная программа «Развитие малого и среднего предпринимательства в городе Сургуте </w:t>
      </w:r>
      <w:r w:rsidRPr="00C25ABA">
        <w:rPr>
          <w:rFonts w:ascii="Times New Roman" w:hAnsi="Times New Roman" w:cs="Times New Roman"/>
          <w:sz w:val="28"/>
          <w:szCs w:val="28"/>
        </w:rPr>
        <w:br/>
      </w:r>
      <w:r w:rsidR="00BD6258" w:rsidRPr="00C25ABA">
        <w:rPr>
          <w:rFonts w:ascii="Times New Roman" w:hAnsi="Times New Roman" w:cs="Times New Roman"/>
          <w:sz w:val="28"/>
          <w:szCs w:val="28"/>
        </w:rPr>
        <w:t xml:space="preserve">на период до 2030 года». В рамках реализации программы субъектам </w:t>
      </w:r>
      <w:r w:rsidR="00254E4B" w:rsidRPr="00C25ABA">
        <w:rPr>
          <w:rFonts w:ascii="Times New Roman" w:hAnsi="Times New Roman" w:cs="Times New Roman"/>
          <w:sz w:val="28"/>
          <w:szCs w:val="28"/>
        </w:rPr>
        <w:t>МСП</w:t>
      </w:r>
      <w:r w:rsidR="00BD6258" w:rsidRPr="00C25ABA">
        <w:rPr>
          <w:rFonts w:ascii="Times New Roman" w:hAnsi="Times New Roman" w:cs="Times New Roman"/>
          <w:sz w:val="28"/>
          <w:szCs w:val="28"/>
        </w:rPr>
        <w:t xml:space="preserve"> оказывается информационно-консультационная, образовательная, финансовая </w:t>
      </w:r>
      <w:r w:rsidRPr="00C25ABA">
        <w:rPr>
          <w:rFonts w:ascii="Times New Roman" w:hAnsi="Times New Roman" w:cs="Times New Roman"/>
          <w:sz w:val="28"/>
          <w:szCs w:val="28"/>
        </w:rPr>
        <w:br/>
      </w:r>
      <w:r w:rsidR="00BD6258" w:rsidRPr="00C25ABA">
        <w:rPr>
          <w:rFonts w:ascii="Times New Roman" w:hAnsi="Times New Roman" w:cs="Times New Roman"/>
          <w:sz w:val="28"/>
          <w:szCs w:val="28"/>
        </w:rPr>
        <w:t>и имущественная поддержка.</w:t>
      </w:r>
    </w:p>
    <w:p w:rsidR="00BD6258" w:rsidRPr="00C25ABA" w:rsidRDefault="00BD6258" w:rsidP="00BD6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lastRenderedPageBreak/>
        <w:t xml:space="preserve">Так, в 2022 году в рамках реализации мероприятий программы </w:t>
      </w:r>
      <w:r w:rsidR="00254E4B" w:rsidRPr="00C25ABA">
        <w:rPr>
          <w:rFonts w:ascii="Times New Roman" w:hAnsi="Times New Roman" w:cs="Times New Roman"/>
          <w:sz w:val="28"/>
          <w:szCs w:val="28"/>
        </w:rPr>
        <w:t>на оказание финансовой поддержки направлено 31,46 млн. рублей,</w:t>
      </w:r>
      <w:r w:rsidRPr="00C25ABA">
        <w:rPr>
          <w:rFonts w:ascii="Times New Roman" w:hAnsi="Times New Roman" w:cs="Times New Roman"/>
          <w:sz w:val="28"/>
          <w:szCs w:val="28"/>
        </w:rPr>
        <w:t xml:space="preserve"> предоставлено 264 субсидии субъектам </w:t>
      </w:r>
      <w:r w:rsidR="00254E4B" w:rsidRPr="00C25ABA">
        <w:rPr>
          <w:rFonts w:ascii="Times New Roman" w:hAnsi="Times New Roman" w:cs="Times New Roman"/>
          <w:sz w:val="28"/>
          <w:szCs w:val="28"/>
        </w:rPr>
        <w:t>МСП</w:t>
      </w:r>
      <w:r w:rsidR="00254E4B" w:rsidRPr="00C25ABA">
        <w:rPr>
          <w:rFonts w:ascii="Times New Roman" w:eastAsia="Calibri" w:hAnsi="Times New Roman" w:cs="Times New Roman"/>
          <w:sz w:val="28"/>
          <w:szCs w:val="28"/>
        </w:rPr>
        <w:t xml:space="preserve">, в том числе 5 </w:t>
      </w:r>
      <w:proofErr w:type="spellStart"/>
      <w:r w:rsidR="00254E4B" w:rsidRPr="00C25ABA">
        <w:rPr>
          <w:rFonts w:ascii="Times New Roman" w:eastAsia="Calibri" w:hAnsi="Times New Roman" w:cs="Times New Roman"/>
          <w:sz w:val="28"/>
          <w:szCs w:val="28"/>
        </w:rPr>
        <w:t>самозанятым</w:t>
      </w:r>
      <w:proofErr w:type="spellEnd"/>
      <w:r w:rsidR="00254E4B" w:rsidRPr="00C25ABA">
        <w:rPr>
          <w:rFonts w:ascii="Times New Roman" w:eastAsia="Calibri" w:hAnsi="Times New Roman" w:cs="Times New Roman"/>
          <w:sz w:val="28"/>
          <w:szCs w:val="28"/>
        </w:rPr>
        <w:t xml:space="preserve"> гражданам,</w:t>
      </w:r>
      <w:r w:rsidRPr="00C25ABA">
        <w:rPr>
          <w:rFonts w:ascii="Times New Roman" w:hAnsi="Times New Roman" w:cs="Times New Roman"/>
          <w:sz w:val="28"/>
          <w:szCs w:val="28"/>
        </w:rPr>
        <w:t xml:space="preserve"> 28 субъектам предоставлена имущественная поддержка в виде передачи в пользование муниципального имущества на льготных условиях.</w:t>
      </w:r>
    </w:p>
    <w:p w:rsidR="008B754C" w:rsidRPr="00C25ABA" w:rsidRDefault="008B754C" w:rsidP="008B75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поддержке социальных предпринимателей, начинающих предпринимателей, осуществляющих деятельность в сфере производства, а также инновационных компаний. Статус «социальное предприятие» на конец 2022 года имел 91 субъект. В 2022 году из бюджета города выделены дополнительные средств в объеме более 12 млн. рублей в целях поддержки социальных предпринимателей.</w:t>
      </w:r>
    </w:p>
    <w:p w:rsidR="008B754C" w:rsidRPr="00C25ABA" w:rsidRDefault="008B754C" w:rsidP="008B75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В 2022 году на региональном и муниципальном уровнях принято решение </w:t>
      </w:r>
      <w:r w:rsidR="00254E4B" w:rsidRPr="00C25ABA">
        <w:rPr>
          <w:rFonts w:ascii="Times New Roman" w:eastAsia="Calibri" w:hAnsi="Times New Roman" w:cs="Times New Roman"/>
          <w:sz w:val="28"/>
          <w:szCs w:val="28"/>
        </w:rPr>
        <w:br/>
      </w:r>
      <w:r w:rsidRPr="00C25ABA">
        <w:rPr>
          <w:rFonts w:ascii="Times New Roman" w:eastAsia="Calibri" w:hAnsi="Times New Roman" w:cs="Times New Roman"/>
          <w:sz w:val="28"/>
          <w:szCs w:val="28"/>
        </w:rPr>
        <w:t>о сохранении перечня мер финансовой поддержки субъектов МСП, а также введение нового «пакетного подхода» –</w:t>
      </w:r>
      <w:r w:rsidRPr="00C25ABA">
        <w:rPr>
          <w:rFonts w:ascii="Times New Roman" w:hAnsi="Times New Roman" w:cs="Times New Roman"/>
          <w:sz w:val="28"/>
          <w:szCs w:val="28"/>
        </w:rPr>
        <w:t xml:space="preserve"> возможности подачи единого пакета документов </w:t>
      </w:r>
      <w:r w:rsidR="00254E4B" w:rsidRPr="00C25ABA">
        <w:rPr>
          <w:rFonts w:ascii="Times New Roman" w:hAnsi="Times New Roman" w:cs="Times New Roman"/>
          <w:sz w:val="28"/>
          <w:szCs w:val="28"/>
        </w:rPr>
        <w:br/>
      </w:r>
      <w:r w:rsidRPr="00C25ABA">
        <w:rPr>
          <w:rFonts w:ascii="Times New Roman" w:hAnsi="Times New Roman" w:cs="Times New Roman"/>
          <w:sz w:val="28"/>
          <w:szCs w:val="28"/>
        </w:rPr>
        <w:t>от заявителя по всем подходящим направлениям поддержки и установление предельного размера субсидии на одного участника отбора</w:t>
      </w:r>
      <w:r w:rsidRPr="00C25A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754C" w:rsidRPr="00C25ABA" w:rsidRDefault="008B754C" w:rsidP="008B75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eastAsia="Calibri" w:hAnsi="Times New Roman" w:cs="Times New Roman"/>
          <w:sz w:val="28"/>
          <w:szCs w:val="28"/>
        </w:rPr>
        <w:t>При этом, д</w:t>
      </w:r>
      <w:r w:rsidRPr="00C25ABA">
        <w:rPr>
          <w:rFonts w:ascii="Times New Roman" w:hAnsi="Times New Roman" w:cs="Times New Roman"/>
          <w:sz w:val="28"/>
          <w:szCs w:val="28"/>
        </w:rPr>
        <w:t xml:space="preserve">о конца 2022 года </w:t>
      </w:r>
      <w:r w:rsidR="00254E4B" w:rsidRPr="00C25ABA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C25ABA">
        <w:rPr>
          <w:rFonts w:ascii="Times New Roman" w:hAnsi="Times New Roman" w:cs="Times New Roman"/>
          <w:sz w:val="28"/>
          <w:szCs w:val="28"/>
        </w:rPr>
        <w:t>приостановлено действие норм, устанавливающих требование к участнику отбора об отсутствии неисполненной обязанности по уплате налогов, сборов, страховых взносов, а также задолженности по денежным обязательствам перед бюджетом города.</w:t>
      </w:r>
    </w:p>
    <w:p w:rsidR="008B754C" w:rsidRPr="00C25ABA" w:rsidRDefault="008B754C" w:rsidP="008B75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Таким образом, в 2022 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году субъекты МСП имели возможность компенсировать затраты по 18 направлениям, </w:t>
      </w:r>
      <w:proofErr w:type="spellStart"/>
      <w:r w:rsidRPr="00C25ABA">
        <w:rPr>
          <w:rFonts w:ascii="Times New Roman" w:eastAsia="Calibri" w:hAnsi="Times New Roman" w:cs="Times New Roman"/>
          <w:sz w:val="28"/>
          <w:szCs w:val="28"/>
        </w:rPr>
        <w:t>с</w:t>
      </w:r>
      <w:r w:rsidRPr="00C25ABA">
        <w:rPr>
          <w:rFonts w:ascii="Times New Roman" w:hAnsi="Times New Roman" w:cs="Times New Roman"/>
          <w:sz w:val="28"/>
          <w:szCs w:val="28"/>
        </w:rPr>
        <w:t>амозанятые</w:t>
      </w:r>
      <w:proofErr w:type="spellEnd"/>
      <w:r w:rsidRPr="00C25ABA">
        <w:rPr>
          <w:rFonts w:ascii="Times New Roman" w:hAnsi="Times New Roman" w:cs="Times New Roman"/>
          <w:sz w:val="28"/>
          <w:szCs w:val="28"/>
        </w:rPr>
        <w:t xml:space="preserve"> граждане – часть затрат </w:t>
      </w:r>
      <w:r w:rsidR="00254E4B" w:rsidRPr="00C25ABA">
        <w:rPr>
          <w:rFonts w:ascii="Times New Roman" w:hAnsi="Times New Roman" w:cs="Times New Roman"/>
          <w:sz w:val="28"/>
          <w:szCs w:val="28"/>
        </w:rPr>
        <w:br/>
      </w:r>
      <w:r w:rsidRPr="00C25ABA">
        <w:rPr>
          <w:rFonts w:ascii="Times New Roman" w:hAnsi="Times New Roman" w:cs="Times New Roman"/>
          <w:sz w:val="28"/>
          <w:szCs w:val="28"/>
        </w:rPr>
        <w:t xml:space="preserve">на рекламу, аренду, консалтинговые услуги, на уплату страховых взносов </w:t>
      </w:r>
      <w:r w:rsidR="00254E4B" w:rsidRPr="00C25ABA">
        <w:rPr>
          <w:rFonts w:ascii="Times New Roman" w:hAnsi="Times New Roman" w:cs="Times New Roman"/>
          <w:sz w:val="28"/>
          <w:szCs w:val="28"/>
        </w:rPr>
        <w:br/>
      </w:r>
      <w:r w:rsidRPr="00C25ABA">
        <w:rPr>
          <w:rFonts w:ascii="Times New Roman" w:hAnsi="Times New Roman" w:cs="Times New Roman"/>
          <w:sz w:val="28"/>
          <w:szCs w:val="28"/>
        </w:rPr>
        <w:t>по договорам добровольного пенсионного страхования,</w:t>
      </w:r>
      <w:r w:rsidR="00254E4B" w:rsidRPr="00C25ABA">
        <w:rPr>
          <w:rFonts w:ascii="Times New Roman" w:hAnsi="Times New Roman" w:cs="Times New Roman"/>
          <w:sz w:val="28"/>
          <w:szCs w:val="28"/>
        </w:rPr>
        <w:t xml:space="preserve"> </w:t>
      </w:r>
      <w:r w:rsidRPr="00C25ABA">
        <w:rPr>
          <w:rFonts w:ascii="Times New Roman" w:hAnsi="Times New Roman" w:cs="Times New Roman"/>
          <w:sz w:val="28"/>
          <w:szCs w:val="28"/>
        </w:rPr>
        <w:t>по приобретению оборудования, а также на обучение и повышение квалификации.</w:t>
      </w:r>
    </w:p>
    <w:p w:rsidR="008B754C" w:rsidRPr="00C25ABA" w:rsidRDefault="008B754C" w:rsidP="008B75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sz w:val="28"/>
          <w:szCs w:val="28"/>
        </w:rPr>
        <w:t xml:space="preserve">В условиях экономической нестабильности и </w:t>
      </w:r>
      <w:proofErr w:type="spellStart"/>
      <w:r w:rsidRPr="00C25ABA">
        <w:rPr>
          <w:rFonts w:ascii="Times New Roman" w:eastAsia="Times New Roman" w:hAnsi="Times New Roman" w:cs="Times New Roman"/>
          <w:sz w:val="28"/>
          <w:szCs w:val="28"/>
        </w:rPr>
        <w:t>санкционного</w:t>
      </w:r>
      <w:proofErr w:type="spellEnd"/>
      <w:r w:rsidRPr="00C25ABA">
        <w:rPr>
          <w:rFonts w:ascii="Times New Roman" w:eastAsia="Times New Roman" w:hAnsi="Times New Roman" w:cs="Times New Roman"/>
          <w:sz w:val="28"/>
          <w:szCs w:val="28"/>
        </w:rPr>
        <w:t xml:space="preserve"> давления </w:t>
      </w:r>
      <w:r w:rsidR="00254E4B" w:rsidRPr="00C25ABA">
        <w:rPr>
          <w:rFonts w:ascii="Times New Roman" w:eastAsia="Times New Roman" w:hAnsi="Times New Roman" w:cs="Times New Roman"/>
          <w:sz w:val="28"/>
          <w:szCs w:val="28"/>
        </w:rPr>
        <w:br/>
      </w:r>
      <w:r w:rsidRPr="00C25ABA">
        <w:rPr>
          <w:rFonts w:ascii="Times New Roman" w:hAnsi="Times New Roman" w:cs="Times New Roman"/>
          <w:sz w:val="28"/>
          <w:szCs w:val="28"/>
        </w:rPr>
        <w:t>на федеральном, региональном и муниципальном уровнях</w:t>
      </w:r>
      <w:r w:rsidRPr="00C25ABA">
        <w:rPr>
          <w:rFonts w:ascii="Times New Roman" w:eastAsia="Times New Roman" w:hAnsi="Times New Roman" w:cs="Times New Roman"/>
          <w:sz w:val="28"/>
          <w:szCs w:val="28"/>
        </w:rPr>
        <w:t xml:space="preserve"> приняты специальные меры поддержки предпринимателей, оказавшихся в зоне риска. </w:t>
      </w:r>
    </w:p>
    <w:p w:rsidR="008B754C" w:rsidRPr="00C25ABA" w:rsidRDefault="008B754C" w:rsidP="008B75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В рамках федерального плана предусмотрены различные виды льготного кредитования, </w:t>
      </w:r>
      <w:r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 более чем в 2 раза</w:t>
      </w:r>
      <w:r w:rsidRPr="00C25ABA">
        <w:rPr>
          <w:rFonts w:ascii="Times New Roman" w:hAnsi="Times New Roman" w:cs="Times New Roman"/>
          <w:sz w:val="28"/>
          <w:szCs w:val="28"/>
        </w:rPr>
        <w:t xml:space="preserve"> </w:t>
      </w:r>
      <w:r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предельный уровень риска в рамках «зонтичного» механизма поручительств, предусмотрены кредитные каникулы </w:t>
      </w:r>
      <w:r w:rsidR="00A634C7"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отдельных сферах, </w:t>
      </w:r>
      <w:r w:rsidRPr="00C25ABA">
        <w:rPr>
          <w:rFonts w:ascii="Times New Roman" w:hAnsi="Times New Roman" w:cs="Times New Roman"/>
          <w:sz w:val="28"/>
          <w:szCs w:val="28"/>
        </w:rPr>
        <w:t>мораторий на большинство плановых проверок субъектов МСП.</w:t>
      </w:r>
    </w:p>
    <w:p w:rsidR="008B754C" w:rsidRPr="00C25ABA" w:rsidRDefault="008B754C" w:rsidP="008B7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Региональный план первоочередных действий </w:t>
      </w:r>
      <w:r w:rsidRPr="00C25ABA">
        <w:rPr>
          <w:rFonts w:ascii="Times New Roman" w:hAnsi="Times New Roman" w:cs="Times New Roman"/>
          <w:sz w:val="28"/>
          <w:szCs w:val="28"/>
        </w:rPr>
        <w:t xml:space="preserve">включает 53 меры поддержки, основные из них направлены на снижение налоговых ставок, установление предельных ставок по </w:t>
      </w:r>
      <w:proofErr w:type="spellStart"/>
      <w:r w:rsidRPr="00C25ABA">
        <w:rPr>
          <w:rFonts w:ascii="Times New Roman" w:hAnsi="Times New Roman" w:cs="Times New Roman"/>
          <w:sz w:val="28"/>
          <w:szCs w:val="28"/>
        </w:rPr>
        <w:t>микрозаймам</w:t>
      </w:r>
      <w:proofErr w:type="spellEnd"/>
      <w:r w:rsidRPr="00C25ABA">
        <w:rPr>
          <w:rFonts w:ascii="Times New Roman" w:hAnsi="Times New Roman" w:cs="Times New Roman"/>
          <w:sz w:val="28"/>
          <w:szCs w:val="28"/>
        </w:rPr>
        <w:t xml:space="preserve">, мораторий на начисление неустойки по договорам </w:t>
      </w:r>
      <w:proofErr w:type="spellStart"/>
      <w:r w:rsidRPr="00C25ABA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C25AB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25ABA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субсидий.</w:t>
      </w:r>
    </w:p>
    <w:p w:rsidR="008B754C" w:rsidRPr="00C25ABA" w:rsidRDefault="008B754C" w:rsidP="008B75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Муниципальный план предусматрива</w:t>
      </w:r>
      <w:r w:rsidR="00A634C7" w:rsidRPr="00C25ABA">
        <w:rPr>
          <w:rFonts w:ascii="Times New Roman" w:hAnsi="Times New Roman" w:cs="Times New Roman"/>
          <w:sz w:val="28"/>
          <w:szCs w:val="28"/>
        </w:rPr>
        <w:t>л</w:t>
      </w:r>
      <w:r w:rsidRPr="00C25ABA">
        <w:rPr>
          <w:rFonts w:ascii="Times New Roman" w:hAnsi="Times New Roman" w:cs="Times New Roman"/>
          <w:sz w:val="28"/>
          <w:szCs w:val="28"/>
        </w:rPr>
        <w:t xml:space="preserve"> льготные размеры арендной платы </w:t>
      </w:r>
      <w:r w:rsidR="00A634C7" w:rsidRPr="00C25ABA">
        <w:rPr>
          <w:rFonts w:ascii="Times New Roman" w:hAnsi="Times New Roman" w:cs="Times New Roman"/>
          <w:sz w:val="28"/>
          <w:szCs w:val="28"/>
        </w:rPr>
        <w:br/>
      </w:r>
      <w:r w:rsidRPr="00C25ABA">
        <w:rPr>
          <w:rFonts w:ascii="Times New Roman" w:hAnsi="Times New Roman" w:cs="Times New Roman"/>
          <w:sz w:val="28"/>
          <w:szCs w:val="28"/>
        </w:rPr>
        <w:t xml:space="preserve">за муниципальное имущество, </w:t>
      </w:r>
      <w:r w:rsidRPr="00C25ABA">
        <w:rPr>
          <w:rFonts w:ascii="Times New Roman" w:eastAsia="Calibri" w:hAnsi="Times New Roman" w:cs="Times New Roman"/>
          <w:sz w:val="28"/>
          <w:szCs w:val="28"/>
        </w:rPr>
        <w:t>отсрочку внесения арендных платежей</w:t>
      </w:r>
      <w:r w:rsidR="00CC3671" w:rsidRPr="00C25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C25ABA">
        <w:rPr>
          <w:rFonts w:ascii="Times New Roman" w:hAnsi="Times New Roman" w:cs="Times New Roman"/>
          <w:sz w:val="28"/>
          <w:szCs w:val="28"/>
        </w:rPr>
        <w:t>ряд иных мер поддержки МСП</w:t>
      </w:r>
      <w:r w:rsidRPr="00C25A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7381" w:rsidRPr="00C25ABA" w:rsidRDefault="00A634C7" w:rsidP="0033382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B754C" w:rsidRPr="00C25ABA">
        <w:rPr>
          <w:rFonts w:ascii="Times New Roman" w:eastAsia="Times New Roman" w:hAnsi="Times New Roman" w:cs="Times New Roman"/>
          <w:sz w:val="28"/>
          <w:szCs w:val="28"/>
        </w:rPr>
        <w:t>оддержку оказывают организации, образующие инфраструктуру поддержки предпринимательства</w:t>
      </w:r>
      <w:r w:rsidR="00CC3671" w:rsidRPr="00C25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 xml:space="preserve">(Фонд поддержки предпринимательства Югры «Мой бизнес», Фонд «Югорская региональная </w:t>
      </w:r>
      <w:proofErr w:type="spellStart"/>
      <w:r w:rsidR="00427381" w:rsidRPr="00C25ABA">
        <w:rPr>
          <w:rFonts w:ascii="Times New Roman" w:eastAsia="Calibri" w:hAnsi="Times New Roman" w:cs="Times New Roman"/>
          <w:sz w:val="28"/>
          <w:szCs w:val="28"/>
        </w:rPr>
        <w:t>микрокредитная</w:t>
      </w:r>
      <w:proofErr w:type="spellEnd"/>
      <w:r w:rsidR="00427381" w:rsidRPr="00C25ABA">
        <w:rPr>
          <w:rFonts w:ascii="Times New Roman" w:eastAsia="Calibri" w:hAnsi="Times New Roman" w:cs="Times New Roman"/>
          <w:sz w:val="28"/>
          <w:szCs w:val="28"/>
        </w:rPr>
        <w:t xml:space="preserve"> компания», Сургутская торгово-промышленная палата, АУ </w:t>
      </w:r>
      <w:r w:rsidR="00CC3671"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>Ханты-Мансийского автономного округа – Югры</w:t>
      </w:r>
      <w:r w:rsidR="00CC3671" w:rsidRPr="00C25A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>«Технопарк высоких технологий», Фонд «Центр координации поддержки экспортно-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ориентированных субъектов малого и среднего предпринимательства Югры», Фонд развития </w:t>
      </w:r>
      <w:r w:rsidR="00CC3671"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>Ханты-Мансийского автономного округа – Югры</w:t>
      </w:r>
      <w:r w:rsidR="006B1E8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 xml:space="preserve"> АО «Федеральная корпорация по развитию малого и среднего предпринимательства»</w:t>
      </w:r>
      <w:r w:rsidR="00333822" w:rsidRPr="00C25ABA">
        <w:rPr>
          <w:rFonts w:ascii="Times New Roman" w:eastAsia="Calibri" w:hAnsi="Times New Roman" w:cs="Times New Roman"/>
          <w:sz w:val="28"/>
          <w:szCs w:val="28"/>
        </w:rPr>
        <w:t>)</w:t>
      </w:r>
      <w:r w:rsidR="00427381" w:rsidRPr="00C25AB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27381" w:rsidRPr="00C25ABA" w:rsidRDefault="008B754C" w:rsidP="008B75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Все виды поддержки позволяют предпринимателям сохранять рабочие места, развивать новые направления, масштабировать бизнес, получать квалифицированные консалтинговые услуги, приобретать качественное оборудование, что в свою очередь, способствует повышению качества товаров и услуг, росту объема налоговых поступлений. </w:t>
      </w:r>
    </w:p>
    <w:p w:rsidR="008B754C" w:rsidRPr="00C25ABA" w:rsidRDefault="008B754C" w:rsidP="008B75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Город является лидером в автономном округе в общем объеме как </w:t>
      </w:r>
      <w:r w:rsidR="00C115D8" w:rsidRPr="00C25ABA">
        <w:rPr>
          <w:rFonts w:ascii="Times New Roman" w:hAnsi="Times New Roman" w:cs="Times New Roman"/>
          <w:sz w:val="28"/>
          <w:szCs w:val="28"/>
        </w:rPr>
        <w:br/>
      </w:r>
      <w:r w:rsidRPr="00C25ABA">
        <w:rPr>
          <w:rFonts w:ascii="Times New Roman" w:hAnsi="Times New Roman" w:cs="Times New Roman"/>
          <w:sz w:val="28"/>
          <w:szCs w:val="28"/>
        </w:rPr>
        <w:t xml:space="preserve">по поступлениям налогов от субъектов МСП (более 30%), так и по численности </w:t>
      </w:r>
      <w:r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занятых в малом и ср</w:t>
      </w:r>
      <w:r w:rsidR="00A634C7"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>еднем бизнесе – также более 30%</w:t>
      </w:r>
      <w:r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634C7"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Оборот </w:t>
      </w:r>
      <w:r w:rsidRPr="00C25AB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малого бизнеса </w:t>
      </w:r>
      <w:r w:rsidR="00C115D8" w:rsidRPr="00C25ABA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в 2022 году составил </w:t>
      </w:r>
      <w:r w:rsidRPr="00C25ABA">
        <w:rPr>
          <w:rFonts w:ascii="Times New Roman" w:eastAsia="Calibri" w:hAnsi="Times New Roman" w:cs="Times New Roman"/>
          <w:bCs/>
          <w:sz w:val="28"/>
          <w:szCs w:val="28"/>
        </w:rPr>
        <w:t xml:space="preserve">201,8 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млрд. рублей, что в сопоставимых ценах ниже уровня </w:t>
      </w:r>
      <w:r w:rsidR="00C115D8" w:rsidRPr="00C25ABA">
        <w:rPr>
          <w:rFonts w:ascii="Times New Roman" w:eastAsia="Calibri" w:hAnsi="Times New Roman" w:cs="Times New Roman"/>
          <w:sz w:val="28"/>
          <w:szCs w:val="28"/>
        </w:rPr>
        <w:br/>
      </w:r>
      <w:r w:rsidR="00A634C7" w:rsidRPr="00C25ABA">
        <w:rPr>
          <w:rFonts w:ascii="Times New Roman" w:eastAsia="Calibri" w:hAnsi="Times New Roman" w:cs="Times New Roman"/>
          <w:sz w:val="28"/>
          <w:szCs w:val="28"/>
        </w:rPr>
        <w:t>2021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 года на 1,4%. Численность занятых в малом бизнесе увеличилась за год, </w:t>
      </w:r>
      <w:r w:rsidR="00C115D8" w:rsidRPr="00C25ABA">
        <w:rPr>
          <w:rFonts w:ascii="Times New Roman" w:eastAsia="Calibri" w:hAnsi="Times New Roman" w:cs="Times New Roman"/>
          <w:sz w:val="28"/>
          <w:szCs w:val="28"/>
        </w:rPr>
        <w:br/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в основном за счет </w:t>
      </w:r>
      <w:proofErr w:type="spellStart"/>
      <w:r w:rsidRPr="00C25ABA">
        <w:rPr>
          <w:rFonts w:ascii="Times New Roman" w:eastAsia="Calibri" w:hAnsi="Times New Roman" w:cs="Times New Roman"/>
          <w:sz w:val="28"/>
          <w:szCs w:val="28"/>
        </w:rPr>
        <w:t>самозанятых</w:t>
      </w:r>
      <w:proofErr w:type="spellEnd"/>
      <w:r w:rsidRPr="00C25ABA">
        <w:rPr>
          <w:rFonts w:ascii="Times New Roman" w:eastAsia="Calibri" w:hAnsi="Times New Roman" w:cs="Times New Roman"/>
          <w:sz w:val="28"/>
          <w:szCs w:val="28"/>
        </w:rPr>
        <w:t>, на 14% до 70,9 тыс. человек, их доля в общей численности занятых достигла 38,4% (2021 год – 35,1%).</w:t>
      </w:r>
    </w:p>
    <w:p w:rsidR="000128D5" w:rsidRPr="00C25ABA" w:rsidRDefault="000128D5" w:rsidP="008B754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2) Показатель № 7 «Доля населения, проживающего в населенных пунктах, 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br/>
        <w:t xml:space="preserve">не имеющих регулярного автобусного и (или) железнодорожного сообщения 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br/>
        <w:t xml:space="preserve">с административным центром городского округа (муниципального района), в общей численности населения городского округа (муниципального района)» </w:t>
      </w:r>
      <w:r w:rsidR="00DE3CF2" w:rsidRPr="00C25AB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–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1 место 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br/>
        <w:t>по сводному индексу показателя.</w:t>
      </w:r>
    </w:p>
    <w:p w:rsidR="001033D8" w:rsidRPr="00C25ABA" w:rsidRDefault="0007736B" w:rsidP="001033D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Уровень обеспеченности населения города регулярным автобусным сообщением составляет 100%. </w:t>
      </w:r>
      <w:r w:rsidR="001033D8" w:rsidRPr="00C25AB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обеспечения транспортного обслуживания населения при разработке муниципальной маршрутной сети учтены все удаленные поселки в границах городского округа.</w:t>
      </w:r>
    </w:p>
    <w:p w:rsidR="001033D8" w:rsidRPr="00C25ABA" w:rsidRDefault="001033D8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3) Показатель № 8.3 «</w:t>
      </w:r>
      <w:r w:rsidR="00DE3CF2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Среднемесячная номинальная начисленная заработная плата работников муниципальных учреждений физической культуры и спорта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» </w:t>
      </w:r>
      <w:r w:rsidR="00DE3CF2" w:rsidRPr="00C25AB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–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A135AF" w:rsidRPr="00C25ABA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DE3CF2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3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место по сводному индексу показателя.</w:t>
      </w:r>
    </w:p>
    <w:p w:rsidR="00AA0EAE" w:rsidRPr="00C25ABA" w:rsidRDefault="005E553F" w:rsidP="00AA0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3</w:t>
      </w:r>
      <w:r w:rsidR="00AA0EAE" w:rsidRPr="00C25ABA">
        <w:rPr>
          <w:rFonts w:ascii="Times New Roman" w:hAnsi="Times New Roman" w:cs="Times New Roman"/>
          <w:sz w:val="28"/>
          <w:szCs w:val="28"/>
        </w:rPr>
        <w:t xml:space="preserve"> место в рейтинге обеспечено высоким уровнем индекса среднего объема показателя за 20</w:t>
      </w:r>
      <w:r w:rsidR="003B3186" w:rsidRPr="00C25ABA">
        <w:rPr>
          <w:rFonts w:ascii="Times New Roman" w:hAnsi="Times New Roman" w:cs="Times New Roman"/>
          <w:sz w:val="28"/>
          <w:szCs w:val="28"/>
        </w:rPr>
        <w:t>20</w:t>
      </w:r>
      <w:r w:rsidR="00AA0EAE" w:rsidRPr="00C25ABA">
        <w:rPr>
          <w:rFonts w:ascii="Times New Roman" w:hAnsi="Times New Roman" w:cs="Times New Roman"/>
          <w:sz w:val="28"/>
          <w:szCs w:val="28"/>
        </w:rPr>
        <w:t xml:space="preserve"> – 202</w:t>
      </w:r>
      <w:r w:rsidR="003B3186" w:rsidRPr="00C25ABA">
        <w:rPr>
          <w:rFonts w:ascii="Times New Roman" w:hAnsi="Times New Roman" w:cs="Times New Roman"/>
          <w:sz w:val="28"/>
          <w:szCs w:val="28"/>
        </w:rPr>
        <w:t>2</w:t>
      </w:r>
      <w:r w:rsidR="00AA0EAE" w:rsidRPr="00C25ABA">
        <w:rPr>
          <w:rFonts w:ascii="Times New Roman" w:hAnsi="Times New Roman" w:cs="Times New Roman"/>
          <w:sz w:val="28"/>
          <w:szCs w:val="28"/>
        </w:rPr>
        <w:t xml:space="preserve"> годы, весовой коэффициент которого при расчете сводного индекса – 40% (</w:t>
      </w:r>
      <w:r w:rsidR="003B3186" w:rsidRPr="00C25ABA">
        <w:rPr>
          <w:rFonts w:ascii="Times New Roman" w:hAnsi="Times New Roman" w:cs="Times New Roman"/>
          <w:sz w:val="28"/>
          <w:szCs w:val="28"/>
        </w:rPr>
        <w:t>1</w:t>
      </w:r>
      <w:r w:rsidR="00AA0EAE" w:rsidRPr="00C25ABA">
        <w:rPr>
          <w:rFonts w:ascii="Times New Roman" w:hAnsi="Times New Roman" w:cs="Times New Roman"/>
          <w:sz w:val="28"/>
          <w:szCs w:val="28"/>
        </w:rPr>
        <w:t xml:space="preserve"> место по индексу среднего объема показателя).</w:t>
      </w:r>
    </w:p>
    <w:p w:rsidR="00AA0EAE" w:rsidRPr="00C25ABA" w:rsidRDefault="00AA0EAE" w:rsidP="00AA0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Среднее значение объема показателя за 20</w:t>
      </w:r>
      <w:r w:rsidR="003B3186" w:rsidRPr="00C25ABA">
        <w:rPr>
          <w:rFonts w:ascii="Times New Roman" w:hAnsi="Times New Roman" w:cs="Times New Roman"/>
          <w:sz w:val="28"/>
          <w:szCs w:val="28"/>
        </w:rPr>
        <w:t>20</w:t>
      </w:r>
      <w:r w:rsidRPr="00C25ABA">
        <w:rPr>
          <w:rFonts w:ascii="Times New Roman" w:hAnsi="Times New Roman" w:cs="Times New Roman"/>
          <w:sz w:val="28"/>
          <w:szCs w:val="28"/>
        </w:rPr>
        <w:t xml:space="preserve"> – 202</w:t>
      </w:r>
      <w:r w:rsidR="003B3186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годы – </w:t>
      </w:r>
      <w:r w:rsidR="003B3186" w:rsidRPr="00C25ABA">
        <w:rPr>
          <w:rFonts w:ascii="Times New Roman" w:hAnsi="Times New Roman" w:cs="Times New Roman"/>
          <w:sz w:val="28"/>
          <w:szCs w:val="28"/>
        </w:rPr>
        <w:t>64 760</w:t>
      </w:r>
      <w:r w:rsidRPr="00C25ABA">
        <w:rPr>
          <w:rFonts w:ascii="Times New Roman" w:hAnsi="Times New Roman" w:cs="Times New Roman"/>
          <w:sz w:val="28"/>
          <w:szCs w:val="28"/>
        </w:rPr>
        <w:t xml:space="preserve"> рубл</w:t>
      </w:r>
      <w:r w:rsidR="003B3186" w:rsidRPr="00C25ABA">
        <w:rPr>
          <w:rFonts w:ascii="Times New Roman" w:hAnsi="Times New Roman" w:cs="Times New Roman"/>
          <w:sz w:val="28"/>
          <w:szCs w:val="28"/>
        </w:rPr>
        <w:t>я</w:t>
      </w:r>
      <w:r w:rsidRPr="00C25ABA">
        <w:rPr>
          <w:rFonts w:ascii="Times New Roman" w:hAnsi="Times New Roman" w:cs="Times New Roman"/>
          <w:sz w:val="28"/>
          <w:szCs w:val="28"/>
        </w:rPr>
        <w:t xml:space="preserve"> </w:t>
      </w:r>
      <w:r w:rsidRPr="00C25ABA">
        <w:rPr>
          <w:rFonts w:ascii="Times New Roman" w:hAnsi="Times New Roman" w:cs="Times New Roman"/>
          <w:sz w:val="28"/>
          <w:szCs w:val="28"/>
        </w:rPr>
        <w:br/>
        <w:t>(20</w:t>
      </w:r>
      <w:r w:rsidR="003B3186" w:rsidRPr="00C25ABA">
        <w:rPr>
          <w:rFonts w:ascii="Times New Roman" w:hAnsi="Times New Roman" w:cs="Times New Roman"/>
          <w:sz w:val="28"/>
          <w:szCs w:val="28"/>
        </w:rPr>
        <w:t>20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 – 5</w:t>
      </w:r>
      <w:r w:rsidR="003B3186" w:rsidRPr="00C25ABA">
        <w:rPr>
          <w:rFonts w:ascii="Times New Roman" w:hAnsi="Times New Roman" w:cs="Times New Roman"/>
          <w:sz w:val="28"/>
          <w:szCs w:val="28"/>
        </w:rPr>
        <w:t>7 634</w:t>
      </w:r>
      <w:r w:rsidRPr="00C25ABA">
        <w:rPr>
          <w:rFonts w:ascii="Times New Roman" w:hAnsi="Times New Roman" w:cs="Times New Roman"/>
          <w:sz w:val="28"/>
          <w:szCs w:val="28"/>
        </w:rPr>
        <w:t xml:space="preserve"> рубл</w:t>
      </w:r>
      <w:r w:rsidR="003B3186" w:rsidRPr="00C25ABA">
        <w:rPr>
          <w:rFonts w:ascii="Times New Roman" w:hAnsi="Times New Roman" w:cs="Times New Roman"/>
          <w:sz w:val="28"/>
          <w:szCs w:val="28"/>
        </w:rPr>
        <w:t>я</w:t>
      </w:r>
      <w:r w:rsidRPr="00C25ABA">
        <w:rPr>
          <w:rFonts w:ascii="Times New Roman" w:hAnsi="Times New Roman" w:cs="Times New Roman"/>
          <w:sz w:val="28"/>
          <w:szCs w:val="28"/>
        </w:rPr>
        <w:t>, 202</w:t>
      </w:r>
      <w:r w:rsidR="003B3186" w:rsidRPr="00C25ABA">
        <w:rPr>
          <w:rFonts w:ascii="Times New Roman" w:hAnsi="Times New Roman" w:cs="Times New Roman"/>
          <w:sz w:val="28"/>
          <w:szCs w:val="28"/>
        </w:rPr>
        <w:t>1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B3186" w:rsidRPr="00C25ABA">
        <w:rPr>
          <w:rFonts w:ascii="Times New Roman" w:hAnsi="Times New Roman" w:cs="Times New Roman"/>
          <w:sz w:val="28"/>
          <w:szCs w:val="28"/>
        </w:rPr>
        <w:t>63 759</w:t>
      </w:r>
      <w:r w:rsidRPr="00C25ABA">
        <w:rPr>
          <w:rFonts w:ascii="Times New Roman" w:hAnsi="Times New Roman" w:cs="Times New Roman"/>
          <w:sz w:val="28"/>
          <w:szCs w:val="28"/>
        </w:rPr>
        <w:t xml:space="preserve"> рубл</w:t>
      </w:r>
      <w:r w:rsidR="003B3186" w:rsidRPr="00C25ABA">
        <w:rPr>
          <w:rFonts w:ascii="Times New Roman" w:hAnsi="Times New Roman" w:cs="Times New Roman"/>
          <w:sz w:val="28"/>
          <w:szCs w:val="28"/>
        </w:rPr>
        <w:t>ей</w:t>
      </w:r>
      <w:r w:rsidRPr="00C25ABA">
        <w:rPr>
          <w:rFonts w:ascii="Times New Roman" w:hAnsi="Times New Roman" w:cs="Times New Roman"/>
          <w:sz w:val="28"/>
          <w:szCs w:val="28"/>
        </w:rPr>
        <w:t>, 202</w:t>
      </w:r>
      <w:r w:rsidR="003B3186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B3186" w:rsidRPr="00C25ABA">
        <w:rPr>
          <w:rFonts w:ascii="Times New Roman" w:hAnsi="Times New Roman" w:cs="Times New Roman"/>
          <w:sz w:val="28"/>
          <w:szCs w:val="28"/>
        </w:rPr>
        <w:t>72 889</w:t>
      </w:r>
      <w:r w:rsidRPr="00C25ABA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AA0EAE" w:rsidRPr="00C25ABA" w:rsidRDefault="00AA0EAE" w:rsidP="00AA0E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Высокий уровень значения показателя достигнут за счет применения повышающих коэффициентов, стимулирующих выплат работников основного персонала, выплат за специализацию специалистам, работающим </w:t>
      </w:r>
      <w:r w:rsidRPr="00C25ABA">
        <w:rPr>
          <w:rFonts w:ascii="Times New Roman" w:hAnsi="Times New Roman" w:cs="Times New Roman"/>
          <w:sz w:val="28"/>
          <w:szCs w:val="28"/>
        </w:rPr>
        <w:br/>
        <w:t xml:space="preserve">на специализированных отделениях в спортивных школах олимпийского резерва, </w:t>
      </w:r>
      <w:r w:rsidRPr="00C25ABA">
        <w:rPr>
          <w:rFonts w:ascii="Times New Roman" w:hAnsi="Times New Roman" w:cs="Times New Roman"/>
          <w:sz w:val="28"/>
          <w:szCs w:val="28"/>
        </w:rPr>
        <w:br/>
        <w:t>за специфику работы, квалификационную категорию, за подготовку спортсменов высокого класса.</w:t>
      </w:r>
    </w:p>
    <w:p w:rsidR="0096472E" w:rsidRPr="00C25ABA" w:rsidRDefault="0096472E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7736B" w:rsidRPr="00C25ABA" w:rsidRDefault="00A135AF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4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) Показатель № </w:t>
      </w:r>
      <w:r w:rsidR="00AA0EAE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1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6 «</w:t>
      </w:r>
      <w:r w:rsidR="00AA0EAE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Доля детей первой и второй групп здоровья в общей численности обучающихся в муниципальных общеобразовательных учреждениях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» 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AA0EAE" w:rsidRPr="00C25AB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>–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AA0EAE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3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место по сводному индексу показателя.</w:t>
      </w:r>
    </w:p>
    <w:p w:rsidR="002753E2" w:rsidRPr="00C25ABA" w:rsidRDefault="002753E2" w:rsidP="00275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lastRenderedPageBreak/>
        <w:t>3 место в рейтинге обеспечено высоким уровнем индекса среднего объема показателя за 2020 – 2022 годы, весовой коэффициент которого при расчете сводного индекса – 40% (1 место по индексу среднего объема показателя).</w:t>
      </w:r>
    </w:p>
    <w:p w:rsidR="002753E2" w:rsidRPr="00C25ABA" w:rsidRDefault="002753E2" w:rsidP="00275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Среднее значение объема показателя за 2020 – 2022 годы – </w:t>
      </w:r>
      <w:r w:rsidR="00651B7D" w:rsidRPr="00C25ABA">
        <w:rPr>
          <w:rFonts w:ascii="Times New Roman" w:hAnsi="Times New Roman" w:cs="Times New Roman"/>
          <w:sz w:val="28"/>
          <w:szCs w:val="28"/>
        </w:rPr>
        <w:t xml:space="preserve">91,1% </w:t>
      </w:r>
      <w:r w:rsidRPr="00C25ABA">
        <w:rPr>
          <w:rFonts w:ascii="Times New Roman" w:hAnsi="Times New Roman" w:cs="Times New Roman"/>
          <w:sz w:val="28"/>
          <w:szCs w:val="28"/>
        </w:rPr>
        <w:t xml:space="preserve">(2020 год – </w:t>
      </w:r>
      <w:r w:rsidR="00651B7D" w:rsidRPr="00C25ABA">
        <w:rPr>
          <w:rFonts w:ascii="Times New Roman" w:hAnsi="Times New Roman" w:cs="Times New Roman"/>
          <w:sz w:val="28"/>
          <w:szCs w:val="28"/>
        </w:rPr>
        <w:br/>
        <w:t>89,9%</w:t>
      </w:r>
      <w:r w:rsidRPr="00C25ABA">
        <w:rPr>
          <w:rFonts w:ascii="Times New Roman" w:hAnsi="Times New Roman" w:cs="Times New Roman"/>
          <w:sz w:val="28"/>
          <w:szCs w:val="28"/>
        </w:rPr>
        <w:t xml:space="preserve">, 2021 год – </w:t>
      </w:r>
      <w:r w:rsidR="00651B7D" w:rsidRPr="00C25ABA">
        <w:rPr>
          <w:rFonts w:ascii="Times New Roman" w:hAnsi="Times New Roman" w:cs="Times New Roman"/>
          <w:sz w:val="28"/>
          <w:szCs w:val="28"/>
        </w:rPr>
        <w:t>91,2%</w:t>
      </w:r>
      <w:r w:rsidRPr="00C25ABA">
        <w:rPr>
          <w:rFonts w:ascii="Times New Roman" w:hAnsi="Times New Roman" w:cs="Times New Roman"/>
          <w:sz w:val="28"/>
          <w:szCs w:val="28"/>
        </w:rPr>
        <w:t xml:space="preserve">, 2022 год – </w:t>
      </w:r>
      <w:r w:rsidR="00651B7D" w:rsidRPr="00C25ABA">
        <w:rPr>
          <w:rFonts w:ascii="Times New Roman" w:hAnsi="Times New Roman" w:cs="Times New Roman"/>
          <w:sz w:val="28"/>
          <w:szCs w:val="28"/>
        </w:rPr>
        <w:t>92,2%</w:t>
      </w:r>
      <w:r w:rsidRPr="00C25ABA">
        <w:rPr>
          <w:rFonts w:ascii="Times New Roman" w:hAnsi="Times New Roman" w:cs="Times New Roman"/>
          <w:sz w:val="28"/>
          <w:szCs w:val="28"/>
        </w:rPr>
        <w:t>).</w:t>
      </w:r>
    </w:p>
    <w:p w:rsidR="002753E2" w:rsidRPr="00C25ABA" w:rsidRDefault="002753E2" w:rsidP="002753E2">
      <w:pPr>
        <w:pStyle w:val="Defaul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5ABA">
        <w:rPr>
          <w:sz w:val="28"/>
          <w:szCs w:val="28"/>
        </w:rPr>
        <w:t xml:space="preserve">Сведения о значениях показателя </w:t>
      </w:r>
      <w:r w:rsidRPr="00C25ABA">
        <w:rPr>
          <w:rFonts w:eastAsia="Calibri"/>
          <w:sz w:val="28"/>
          <w:szCs w:val="28"/>
          <w:lang w:eastAsia="en-US"/>
        </w:rPr>
        <w:t>представляются на основании информации Департамента здравоохранения автономного округа по итогам ежегодных медицинских осмотров.</w:t>
      </w:r>
    </w:p>
    <w:p w:rsidR="00F77676" w:rsidRPr="00C25ABA" w:rsidRDefault="002753E2" w:rsidP="002753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A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Достижение высоких показателей является результатом соблюдения общеобразовательными учреждениями </w:t>
      </w:r>
      <w:r w:rsidRPr="00C25ABA">
        <w:rPr>
          <w:rFonts w:ascii="Times New Roman" w:hAnsi="Times New Roman" w:cs="Times New Roman"/>
          <w:bCs/>
          <w:sz w:val="28"/>
          <w:szCs w:val="28"/>
        </w:rPr>
        <w:t xml:space="preserve">требований СанПиН, предъявляемых </w:t>
      </w:r>
      <w:r w:rsidRPr="00C25ABA">
        <w:rPr>
          <w:rFonts w:ascii="Times New Roman" w:hAnsi="Times New Roman" w:cs="Times New Roman"/>
          <w:bCs/>
          <w:sz w:val="28"/>
          <w:szCs w:val="28"/>
        </w:rPr>
        <w:br/>
        <w:t xml:space="preserve">к территории и помещениям, учебной мебели и к учебникам, освещению, уборке, организации образовательного процесса. </w:t>
      </w:r>
    </w:p>
    <w:p w:rsidR="002753E2" w:rsidRPr="00C25ABA" w:rsidRDefault="002753E2" w:rsidP="002753E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5ABA">
        <w:rPr>
          <w:rFonts w:ascii="Times New Roman" w:hAnsi="Times New Roman" w:cs="Times New Roman"/>
          <w:bCs/>
          <w:sz w:val="28"/>
          <w:szCs w:val="28"/>
        </w:rPr>
        <w:t xml:space="preserve">Кроме того, специалистами общеобразовательных учреждений системно ведется информационно-просветительская работа со всеми участниками образовательных отношений по вопросам </w:t>
      </w:r>
      <w:proofErr w:type="spellStart"/>
      <w:r w:rsidRPr="00C25ABA">
        <w:rPr>
          <w:rFonts w:ascii="Times New Roman" w:hAnsi="Times New Roman" w:cs="Times New Roman"/>
          <w:bCs/>
          <w:sz w:val="28"/>
          <w:szCs w:val="28"/>
        </w:rPr>
        <w:t>здоровьесбережения</w:t>
      </w:r>
      <w:proofErr w:type="spellEnd"/>
      <w:r w:rsidRPr="00C25ABA">
        <w:rPr>
          <w:rFonts w:ascii="Times New Roman" w:hAnsi="Times New Roman" w:cs="Times New Roman"/>
          <w:bCs/>
          <w:sz w:val="28"/>
          <w:szCs w:val="28"/>
        </w:rPr>
        <w:t xml:space="preserve">, создаются условия для участия 100% учащихся в профилактических медицинских осмотрах, осуществляемых </w:t>
      </w:r>
      <w:r w:rsidRPr="00C25A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специалистами лечебно-профилактических учреждений </w:t>
      </w:r>
      <w:r w:rsidR="006B1E8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25A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приказом Министерства здравоохранения Российской Федерации </w:t>
      </w:r>
      <w:r w:rsidR="0066648F" w:rsidRPr="00C25ABA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25ABA">
        <w:rPr>
          <w:rFonts w:ascii="Times New Roman" w:eastAsia="Calibri" w:hAnsi="Times New Roman" w:cs="Times New Roman"/>
          <w:sz w:val="28"/>
          <w:szCs w:val="28"/>
          <w:lang w:eastAsia="en-US"/>
        </w:rPr>
        <w:t>от 10.08.2017 №  514н «О Порядке проведения профилактических медицинских осмотров несовершеннолетних».</w:t>
      </w:r>
    </w:p>
    <w:p w:rsidR="002753E2" w:rsidRPr="00C25ABA" w:rsidRDefault="002753E2" w:rsidP="002753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07736B" w:rsidRPr="00C25ABA" w:rsidRDefault="00A135AF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5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) Показатель № 20 «Уровень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отдыха» </w:t>
      </w:r>
      <w:r w:rsidR="00427381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–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3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место по сводному индексу показателя.</w:t>
      </w:r>
    </w:p>
    <w:p w:rsidR="0007736B" w:rsidRPr="00C25ABA" w:rsidRDefault="00EC66DA" w:rsidP="00077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</w:rPr>
        <w:t>3</w:t>
      </w:r>
      <w:r w:rsidR="0007736B" w:rsidRPr="00C25ABA">
        <w:rPr>
          <w:rFonts w:ascii="Times New Roman" w:hAnsi="Times New Roman" w:cs="Times New Roman"/>
          <w:sz w:val="28"/>
          <w:szCs w:val="28"/>
        </w:rPr>
        <w:t xml:space="preserve"> место в рейтинге достигнуто за счет высокого уровня индекса среднего темпа роста за трехлетний период (20</w:t>
      </w:r>
      <w:r w:rsidR="002C5A27" w:rsidRPr="00C25ABA">
        <w:rPr>
          <w:rFonts w:ascii="Times New Roman" w:hAnsi="Times New Roman" w:cs="Times New Roman"/>
          <w:sz w:val="28"/>
          <w:szCs w:val="28"/>
        </w:rPr>
        <w:t>20</w:t>
      </w:r>
      <w:r w:rsidR="0007736B" w:rsidRPr="00C25ABA">
        <w:rPr>
          <w:rFonts w:ascii="Times New Roman" w:hAnsi="Times New Roman" w:cs="Times New Roman"/>
          <w:sz w:val="28"/>
          <w:szCs w:val="28"/>
        </w:rPr>
        <w:t xml:space="preserve"> – 202</w:t>
      </w:r>
      <w:r w:rsidR="002C5A27" w:rsidRPr="00C25ABA">
        <w:rPr>
          <w:rFonts w:ascii="Times New Roman" w:hAnsi="Times New Roman" w:cs="Times New Roman"/>
          <w:sz w:val="28"/>
          <w:szCs w:val="28"/>
        </w:rPr>
        <w:t>2</w:t>
      </w:r>
      <w:r w:rsidR="0007736B" w:rsidRPr="00C25ABA">
        <w:rPr>
          <w:rFonts w:ascii="Times New Roman" w:hAnsi="Times New Roman" w:cs="Times New Roman"/>
          <w:sz w:val="28"/>
          <w:szCs w:val="28"/>
        </w:rPr>
        <w:t xml:space="preserve"> годы), весовой коэффициент которого при расчете сводного индекса – 60% (2 место по индексу среднего темпа роста показателя)</w:t>
      </w:r>
      <w:r w:rsidR="0007736B"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  <w:lang w:eastAsia="ar-SA"/>
        </w:rPr>
        <w:t>При расчете значений показателей обеспеченности с 2017 года применяются следующие нормативные показатели обеспеченности населения: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- клубами и учреждениями клубного типа - 1 единица на 100 тыс. жителей 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br/>
        <w:t>(для городского округа с количеством жителей от 100 до 500 тыс. человек);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- библиотеками - 1 библиотека на 20 тыс. жителей и 1 детская библиотека 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br/>
        <w:t>на 10 тыс. детей;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  <w:lang w:eastAsia="ar-SA"/>
        </w:rPr>
        <w:t>- парками культуры и отдыха - 1 объект на 30 тыс. жителей.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В 202</w:t>
      </w:r>
      <w:r w:rsidR="005C4B19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году значение показателя «Уровень фактической обеспеченности учреждениями культуры от нормативной потребности: клубами и учреждениями клубного типа» не изменилось, что обусловлено сохранением фактического </w:t>
      </w:r>
      <w:r w:rsidRPr="00C25ABA">
        <w:rPr>
          <w:rFonts w:ascii="Times New Roman" w:hAnsi="Times New Roman" w:cs="Times New Roman"/>
          <w:sz w:val="28"/>
          <w:szCs w:val="28"/>
        </w:rPr>
        <w:br/>
        <w:t>и нормативного количества учреждений клубной сети на уровне 202</w:t>
      </w:r>
      <w:r w:rsidR="005C4B19" w:rsidRPr="00C25ABA">
        <w:rPr>
          <w:rFonts w:ascii="Times New Roman" w:hAnsi="Times New Roman" w:cs="Times New Roman"/>
          <w:sz w:val="28"/>
          <w:szCs w:val="28"/>
        </w:rPr>
        <w:t>1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C4B19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В 202</w:t>
      </w:r>
      <w:r w:rsidR="005C4B19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году значение показателя «Уровень фактической обеспеченности учреждениями культуры от нормативной потребности: библиотеками» </w:t>
      </w:r>
      <w:r w:rsidR="005C4B19" w:rsidRPr="00C25ABA">
        <w:rPr>
          <w:rFonts w:ascii="Times New Roman" w:hAnsi="Times New Roman" w:cs="Times New Roman"/>
          <w:sz w:val="28"/>
          <w:szCs w:val="28"/>
        </w:rPr>
        <w:t>снизилось по сравнению с уровнем 2021 года</w:t>
      </w:r>
      <w:r w:rsidRPr="00C25ABA">
        <w:rPr>
          <w:rFonts w:ascii="Times New Roman" w:hAnsi="Times New Roman" w:cs="Times New Roman"/>
          <w:sz w:val="28"/>
          <w:szCs w:val="28"/>
        </w:rPr>
        <w:t>, что определяется</w:t>
      </w:r>
      <w:r w:rsidR="005C4B19" w:rsidRPr="00C25ABA">
        <w:rPr>
          <w:rFonts w:ascii="Times New Roman" w:hAnsi="Times New Roman" w:cs="Times New Roman"/>
          <w:sz w:val="28"/>
          <w:szCs w:val="28"/>
        </w:rPr>
        <w:t xml:space="preserve">, в основном, увеличением </w:t>
      </w:r>
      <w:r w:rsidR="005C4B19" w:rsidRPr="00C25ABA">
        <w:rPr>
          <w:rFonts w:ascii="Times New Roman" w:hAnsi="Times New Roman" w:cs="Times New Roman"/>
          <w:sz w:val="28"/>
          <w:szCs w:val="28"/>
        </w:rPr>
        <w:lastRenderedPageBreak/>
        <w:t>нормативной мощности, обусловленным положительными темпами прироста численности населения города.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</w:rPr>
        <w:t>В 202</w:t>
      </w:r>
      <w:r w:rsidR="005C4B19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году значение показателя «Уровень фактической обеспеченности учреждениями культуры от нормативной потребности: парками культуры и отдыха» не изменилось, что определяется 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>сохранением фактического и нормативного количества парков культуры и отдыха на уровне 202</w:t>
      </w:r>
      <w:r w:rsidR="005C4B19" w:rsidRPr="00C25ABA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года.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  <w:lang w:eastAsia="ar-SA"/>
        </w:rPr>
        <w:t>По итогам 202</w:t>
      </w:r>
      <w:r w:rsidR="005C4B19" w:rsidRPr="00C25ABA"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года в городе 8 учреждений клубного типа, 13 массовых библиотек и 2</w:t>
      </w:r>
      <w:r w:rsidR="005C4B19" w:rsidRPr="00C25ABA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отдел</w:t>
      </w:r>
      <w:r w:rsidR="005C4B19" w:rsidRPr="00C25ABA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C25ABA">
        <w:rPr>
          <w:rFonts w:ascii="Times New Roman" w:hAnsi="Times New Roman" w:cs="Times New Roman"/>
          <w:sz w:val="28"/>
          <w:szCs w:val="28"/>
          <w:lang w:eastAsia="ar-SA"/>
        </w:rPr>
        <w:t>внестанционарного</w:t>
      </w:r>
      <w:proofErr w:type="spellEnd"/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библиотечного обслуживания, 1 парк культуры и отдыха.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  <w:lang w:eastAsia="ar-SA"/>
        </w:rPr>
        <w:t>Обеспеченность</w:t>
      </w:r>
      <w:r w:rsidR="005C4B19"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по итогам 2022 года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  <w:lang w:eastAsia="ar-SA"/>
        </w:rPr>
        <w:t>- учреждениями клубного типа составила 200% (8 единиц при нормативном показателе – 4 единицы);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  <w:lang w:eastAsia="ar-SA"/>
        </w:rPr>
        <w:t>- библиотеками – 52% (1</w:t>
      </w:r>
      <w:r w:rsidR="005C4B19" w:rsidRPr="00C25ABA">
        <w:rPr>
          <w:rFonts w:ascii="Times New Roman" w:hAnsi="Times New Roman" w:cs="Times New Roman"/>
          <w:sz w:val="28"/>
          <w:szCs w:val="28"/>
          <w:lang w:eastAsia="ar-SA"/>
        </w:rPr>
        <w:t>5,1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единицы (13 единиц и </w:t>
      </w:r>
      <w:r w:rsidR="005C4B19" w:rsidRPr="00C25ABA">
        <w:rPr>
          <w:rFonts w:ascii="Times New Roman" w:hAnsi="Times New Roman" w:cs="Times New Roman"/>
          <w:sz w:val="28"/>
          <w:szCs w:val="28"/>
          <w:lang w:eastAsia="ar-SA"/>
        </w:rPr>
        <w:t>2,1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единица за счет </w:t>
      </w:r>
      <w:proofErr w:type="spellStart"/>
      <w:r w:rsidRPr="00C25ABA">
        <w:rPr>
          <w:rFonts w:ascii="Times New Roman" w:hAnsi="Times New Roman" w:cs="Times New Roman"/>
          <w:sz w:val="28"/>
          <w:szCs w:val="28"/>
          <w:lang w:eastAsia="ar-SA"/>
        </w:rPr>
        <w:t>внестационарных</w:t>
      </w:r>
      <w:proofErr w:type="spellEnd"/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отделов (0,09% от 2</w:t>
      </w:r>
      <w:r w:rsidR="005C4B19" w:rsidRPr="00C25ABA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единиц) при нормативном показателе – 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br/>
        <w:t>2</w:t>
      </w:r>
      <w:r w:rsidR="005C4B19" w:rsidRPr="00C25ABA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C25ABA">
        <w:rPr>
          <w:rFonts w:ascii="Times New Roman" w:hAnsi="Times New Roman" w:cs="Times New Roman"/>
          <w:sz w:val="28"/>
          <w:szCs w:val="28"/>
          <w:lang w:eastAsia="ar-SA"/>
        </w:rPr>
        <w:t xml:space="preserve"> единиц);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25ABA">
        <w:rPr>
          <w:rFonts w:ascii="Times New Roman" w:hAnsi="Times New Roman" w:cs="Times New Roman"/>
          <w:sz w:val="28"/>
          <w:szCs w:val="28"/>
          <w:lang w:eastAsia="ar-SA"/>
        </w:rPr>
        <w:t>- парками культуры и отдыха – 7,7% (1 единица при нормативном показателе – 13 единиц).</w:t>
      </w:r>
    </w:p>
    <w:p w:rsidR="005D6CA6" w:rsidRPr="00C25ABA" w:rsidRDefault="005D6CA6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7736B" w:rsidRPr="00C25ABA" w:rsidRDefault="00A135AF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6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) Показатель № 22 «Доля объектов культурного наследия, находящихся 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br/>
        <w:t xml:space="preserve">в муниципальной собственности и требующих консервации или реставрации, 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br/>
        <w:t xml:space="preserve">в общем количестве объектов культурного наследия, находящихся в муниципальной собственности» </w:t>
      </w:r>
      <w:r w:rsidR="00427381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–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1 место по сводному индексу показателя.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В собственности муниципального образования находятся 2 объекта культурного наследия (памятников истории и культуры):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- «Дом, в котором с 1957 года по 1961 год жил советский и российский геолог, первооткрыватель нефти в Сибири Ф.К. Салманов» (Постановление Правительства автономного округа от 07.03.2013 № 71-п);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 xml:space="preserve">- «Дом Г.С. Клепикова» (Постановление Правительства автономного округа </w:t>
      </w:r>
      <w:r w:rsidRPr="00C25ABA">
        <w:rPr>
          <w:rFonts w:ascii="Times New Roman" w:hAnsi="Times New Roman" w:cs="Times New Roman"/>
          <w:sz w:val="28"/>
          <w:szCs w:val="28"/>
        </w:rPr>
        <w:br/>
        <w:t xml:space="preserve">от 04.12.2012 № 506-п). </w:t>
      </w:r>
    </w:p>
    <w:p w:rsidR="0007736B" w:rsidRPr="00C25ABA" w:rsidRDefault="0007736B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Данные объекты культурного наследия - структурные подразделения муниципального бюджетного учреждения культуры «Сургутский краеведческий музей», являются действующими музеями, не требуют консервации или реставрации.</w:t>
      </w:r>
    </w:p>
    <w:p w:rsidR="003B0E3D" w:rsidRPr="00C25ABA" w:rsidRDefault="003B0E3D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07736B" w:rsidRPr="00C25ABA" w:rsidRDefault="00A135AF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7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) Показатель № 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35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«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» </w:t>
      </w:r>
      <w:r w:rsidR="00427381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–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3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место по сводному индексу показателя.</w:t>
      </w:r>
    </w:p>
    <w:p w:rsidR="004C55F9" w:rsidRPr="00C25ABA" w:rsidRDefault="004C55F9" w:rsidP="004C5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3 место в рейтинге достигнуто как за счет высокого уровня индекса среднего объема показателя за 20</w:t>
      </w:r>
      <w:r w:rsidR="00A92A76" w:rsidRPr="00C25ABA">
        <w:rPr>
          <w:rFonts w:ascii="Times New Roman" w:hAnsi="Times New Roman" w:cs="Times New Roman"/>
          <w:sz w:val="28"/>
          <w:szCs w:val="28"/>
        </w:rPr>
        <w:t>20</w:t>
      </w:r>
      <w:r w:rsidRPr="00C25ABA">
        <w:rPr>
          <w:rFonts w:ascii="Times New Roman" w:hAnsi="Times New Roman" w:cs="Times New Roman"/>
          <w:sz w:val="28"/>
          <w:szCs w:val="28"/>
        </w:rPr>
        <w:t xml:space="preserve"> – 202</w:t>
      </w:r>
      <w:r w:rsidR="00A92A76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годы, весовой коэффициент которого при расчете сводного индекса – 40% (1 место по индексу среднего объема показателя), так </w:t>
      </w:r>
      <w:r w:rsidR="00A92A76" w:rsidRPr="00C25ABA">
        <w:rPr>
          <w:rFonts w:ascii="Times New Roman" w:hAnsi="Times New Roman" w:cs="Times New Roman"/>
          <w:sz w:val="28"/>
          <w:szCs w:val="28"/>
        </w:rPr>
        <w:br/>
      </w:r>
      <w:r w:rsidRPr="00C25ABA">
        <w:rPr>
          <w:rFonts w:ascii="Times New Roman" w:hAnsi="Times New Roman" w:cs="Times New Roman"/>
          <w:sz w:val="28"/>
          <w:szCs w:val="28"/>
        </w:rPr>
        <w:t>и индекса среднего темпа роста за данный трехлетний период, весовой коэффициент которого при расчете сводного индекса – 60% (</w:t>
      </w:r>
      <w:r w:rsidR="00A92A76" w:rsidRPr="00C25ABA">
        <w:rPr>
          <w:rFonts w:ascii="Times New Roman" w:hAnsi="Times New Roman" w:cs="Times New Roman"/>
          <w:sz w:val="28"/>
          <w:szCs w:val="28"/>
        </w:rPr>
        <w:t>3</w:t>
      </w:r>
      <w:r w:rsidRPr="00C25ABA">
        <w:rPr>
          <w:rFonts w:ascii="Times New Roman" w:hAnsi="Times New Roman" w:cs="Times New Roman"/>
          <w:sz w:val="28"/>
          <w:szCs w:val="28"/>
        </w:rPr>
        <w:t xml:space="preserve"> место по индексу среднего темпа роста показателя).</w:t>
      </w:r>
    </w:p>
    <w:p w:rsidR="0007736B" w:rsidRPr="00C25ABA" w:rsidRDefault="003B0E3D" w:rsidP="0001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Также на значение показателя за 2022 год оказало влияние 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изменение методики расчета </w:t>
      </w:r>
      <w:r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</w:t>
      </w:r>
      <w:r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Федеральной службы государственной статистики 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от 29.07.2022 № 531</w:t>
      </w:r>
      <w:r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необходимость соблюдения нормативов формирования расходов на оплату труда работников органов местного самоуправления, установленных постановлениями Правительства </w:t>
      </w:r>
      <w:r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автономного округа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06.08.2010 </w:t>
      </w:r>
      <w:r w:rsidR="00427381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191-п </w:t>
      </w:r>
      <w:r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нормативах формирования расходов на содержание органов местного самоуправления </w:t>
      </w:r>
      <w:r w:rsidR="00427381"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>Ханты-Мансийского автономного округа – Югры</w:t>
      </w:r>
      <w:r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от 23.08.2019 </w:t>
      </w:r>
      <w:r w:rsidR="00427381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278-п </w:t>
      </w:r>
      <w:r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</w:t>
      </w:r>
      <w:r w:rsidR="00427381" w:rsidRPr="00C25ABA">
        <w:rPr>
          <w:rFonts w:ascii="Times New Roman" w:hAnsi="Times New Roman" w:cs="Times New Roman"/>
          <w:bCs/>
          <w:sz w:val="28"/>
          <w:szCs w:val="28"/>
          <w:lang w:eastAsia="en-US"/>
        </w:rPr>
        <w:t>Ханты-Мансийского автономного округа – Югры</w:t>
      </w:r>
      <w:r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128D5" w:rsidRPr="00C25A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135AF" w:rsidRPr="00C25ABA" w:rsidRDefault="00A135AF" w:rsidP="00077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</w:pPr>
    </w:p>
    <w:p w:rsidR="0007736B" w:rsidRPr="00C25ABA" w:rsidRDefault="00A135AF" w:rsidP="0007736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5AB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8</w:t>
      </w:r>
      <w:r w:rsidR="0007736B" w:rsidRPr="00C25AB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) П</w:t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оказатель № 38 </w:t>
      </w:r>
      <w:r w:rsidR="0007736B" w:rsidRPr="00C25AB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>«Среднегодовая численность постоянного населения»</w:t>
      </w:r>
      <w:r w:rsidR="00427381" w:rsidRPr="00C25ABA">
        <w:rPr>
          <w:rFonts w:ascii="Times New Roman" w:eastAsia="Calibri" w:hAnsi="Times New Roman" w:cs="Times New Roman"/>
          <w:i/>
          <w:color w:val="002060"/>
          <w:sz w:val="28"/>
          <w:szCs w:val="28"/>
        </w:rPr>
        <w:t xml:space="preserve"> –</w:t>
      </w:r>
      <w:r w:rsidR="0007736B" w:rsidRPr="00C25AB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t xml:space="preserve"> </w:t>
      </w:r>
      <w:r w:rsidR="0007736B" w:rsidRPr="00C25ABA">
        <w:rPr>
          <w:rFonts w:ascii="Times New Roman" w:eastAsia="Times New Roman" w:hAnsi="Times New Roman" w:cs="Times New Roman"/>
          <w:i/>
          <w:color w:val="002060"/>
          <w:sz w:val="28"/>
          <w:szCs w:val="28"/>
        </w:rPr>
        <w:br/>
      </w:r>
      <w:r w:rsidR="0007736B" w:rsidRPr="00C25ABA">
        <w:rPr>
          <w:rFonts w:ascii="Times New Roman" w:hAnsi="Times New Roman" w:cs="Times New Roman"/>
          <w:i/>
          <w:color w:val="002060"/>
          <w:sz w:val="28"/>
          <w:szCs w:val="28"/>
        </w:rPr>
        <w:t>1 место по сводному индексу показателя</w:t>
      </w:r>
      <w:r w:rsidRPr="00C25ABA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</w:p>
    <w:p w:rsidR="00BC311D" w:rsidRPr="00C25ABA" w:rsidRDefault="00BC311D" w:rsidP="00BC31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1 место в рейтинге обеспечено высоким уровнем индекса среднего объема показателя за 2020 – 2022 годы, весовой коэффициент которого при расчете сводного индекса – 40% (1 место по индексу среднего объема показателя).</w:t>
      </w:r>
    </w:p>
    <w:p w:rsidR="0007736B" w:rsidRPr="00C25ABA" w:rsidRDefault="0007736B" w:rsidP="00077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Среднее значение объема показателя за 20</w:t>
      </w:r>
      <w:r w:rsidR="00BC311D" w:rsidRPr="00C25ABA">
        <w:rPr>
          <w:rFonts w:ascii="Times New Roman" w:hAnsi="Times New Roman" w:cs="Times New Roman"/>
          <w:sz w:val="28"/>
          <w:szCs w:val="28"/>
        </w:rPr>
        <w:t>20</w:t>
      </w:r>
      <w:r w:rsidRPr="00C25ABA">
        <w:rPr>
          <w:rFonts w:ascii="Times New Roman" w:hAnsi="Times New Roman" w:cs="Times New Roman"/>
          <w:sz w:val="28"/>
          <w:szCs w:val="28"/>
        </w:rPr>
        <w:t xml:space="preserve"> – 202</w:t>
      </w:r>
      <w:r w:rsidR="00BC311D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годы – 3</w:t>
      </w:r>
      <w:r w:rsidR="00BC311D" w:rsidRPr="00C25ABA">
        <w:rPr>
          <w:rFonts w:ascii="Times New Roman" w:hAnsi="Times New Roman" w:cs="Times New Roman"/>
          <w:sz w:val="28"/>
          <w:szCs w:val="28"/>
        </w:rPr>
        <w:t>92,7</w:t>
      </w:r>
      <w:r w:rsidRPr="00C25ABA">
        <w:rPr>
          <w:rFonts w:ascii="Times New Roman" w:hAnsi="Times New Roman" w:cs="Times New Roman"/>
          <w:sz w:val="28"/>
          <w:szCs w:val="28"/>
        </w:rPr>
        <w:t xml:space="preserve"> тыс. человек (20</w:t>
      </w:r>
      <w:r w:rsidR="00BC311D" w:rsidRPr="00C25ABA">
        <w:rPr>
          <w:rFonts w:ascii="Times New Roman" w:hAnsi="Times New Roman" w:cs="Times New Roman"/>
          <w:sz w:val="28"/>
          <w:szCs w:val="28"/>
        </w:rPr>
        <w:t>20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 – 3</w:t>
      </w:r>
      <w:r w:rsidR="00BC311D" w:rsidRPr="00C25ABA">
        <w:rPr>
          <w:rFonts w:ascii="Times New Roman" w:hAnsi="Times New Roman" w:cs="Times New Roman"/>
          <w:sz w:val="28"/>
          <w:szCs w:val="28"/>
        </w:rPr>
        <w:t>83,9</w:t>
      </w:r>
      <w:r w:rsidRPr="00C25ABA">
        <w:rPr>
          <w:rFonts w:ascii="Times New Roman" w:hAnsi="Times New Roman" w:cs="Times New Roman"/>
          <w:sz w:val="28"/>
          <w:szCs w:val="28"/>
        </w:rPr>
        <w:t xml:space="preserve"> тыс. человек, 202</w:t>
      </w:r>
      <w:r w:rsidR="00BC311D" w:rsidRPr="00C25ABA">
        <w:rPr>
          <w:rFonts w:ascii="Times New Roman" w:hAnsi="Times New Roman" w:cs="Times New Roman"/>
          <w:sz w:val="28"/>
          <w:szCs w:val="28"/>
        </w:rPr>
        <w:t>1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 – 3</w:t>
      </w:r>
      <w:r w:rsidR="00BC311D" w:rsidRPr="00C25ABA">
        <w:rPr>
          <w:rFonts w:ascii="Times New Roman" w:hAnsi="Times New Roman" w:cs="Times New Roman"/>
          <w:sz w:val="28"/>
          <w:szCs w:val="28"/>
        </w:rPr>
        <w:t>91,6</w:t>
      </w:r>
      <w:r w:rsidRPr="00C25ABA">
        <w:rPr>
          <w:rFonts w:ascii="Times New Roman" w:hAnsi="Times New Roman" w:cs="Times New Roman"/>
          <w:sz w:val="28"/>
          <w:szCs w:val="28"/>
        </w:rPr>
        <w:t xml:space="preserve"> тыс. человек, 202</w:t>
      </w:r>
      <w:r w:rsidR="00BC311D" w:rsidRPr="00C25ABA">
        <w:rPr>
          <w:rFonts w:ascii="Times New Roman" w:hAnsi="Times New Roman" w:cs="Times New Roman"/>
          <w:sz w:val="28"/>
          <w:szCs w:val="28"/>
        </w:rPr>
        <w:t>2</w:t>
      </w:r>
      <w:r w:rsidRPr="00C25AB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C311D" w:rsidRPr="00C25ABA">
        <w:rPr>
          <w:rFonts w:ascii="Times New Roman" w:hAnsi="Times New Roman" w:cs="Times New Roman"/>
          <w:sz w:val="28"/>
          <w:szCs w:val="28"/>
        </w:rPr>
        <w:br/>
        <w:t>402,7</w:t>
      </w:r>
      <w:r w:rsidRPr="00C25ABA">
        <w:rPr>
          <w:rFonts w:ascii="Times New Roman" w:hAnsi="Times New Roman" w:cs="Times New Roman"/>
          <w:sz w:val="28"/>
          <w:szCs w:val="28"/>
        </w:rPr>
        <w:t xml:space="preserve"> тыс. человек).</w:t>
      </w:r>
    </w:p>
    <w:p w:rsidR="00495929" w:rsidRPr="00C25ABA" w:rsidRDefault="00495929" w:rsidP="004959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В 2022 году с</w:t>
      </w:r>
      <w:r w:rsidRPr="00C25ABA">
        <w:rPr>
          <w:rFonts w:ascii="Times New Roman" w:eastAsia="Calibri" w:hAnsi="Times New Roman" w:cs="Times New Roman"/>
          <w:bCs/>
          <w:sz w:val="28"/>
          <w:szCs w:val="28"/>
        </w:rPr>
        <w:t xml:space="preserve">охранялась тенденция положительного прироста постоянной численности населения города, обеспеченного как естественным, так </w:t>
      </w:r>
      <w:r w:rsidR="00B3728C" w:rsidRPr="00C25ABA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C25ABA">
        <w:rPr>
          <w:rFonts w:ascii="Times New Roman" w:eastAsia="Calibri" w:hAnsi="Times New Roman" w:cs="Times New Roman"/>
          <w:bCs/>
          <w:sz w:val="28"/>
          <w:szCs w:val="28"/>
        </w:rPr>
        <w:t>и миграционным приростом населения.</w:t>
      </w:r>
    </w:p>
    <w:p w:rsidR="00495929" w:rsidRPr="00C25ABA" w:rsidRDefault="00495929" w:rsidP="00495929">
      <w:pPr>
        <w:tabs>
          <w:tab w:val="left" w:pos="222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ABA">
        <w:rPr>
          <w:rFonts w:ascii="Times New Roman" w:eastAsia="Calibri" w:hAnsi="Times New Roman" w:cs="Times New Roman"/>
          <w:bCs/>
          <w:sz w:val="28"/>
          <w:szCs w:val="28"/>
        </w:rPr>
        <w:t xml:space="preserve">Уровень рождаемости, на фоне отрицательной динамики по отношению </w:t>
      </w:r>
      <w:r w:rsidR="006B1E84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C25ABA">
        <w:rPr>
          <w:rFonts w:ascii="Times New Roman" w:eastAsia="Calibri" w:hAnsi="Times New Roman" w:cs="Times New Roman"/>
          <w:bCs/>
          <w:sz w:val="28"/>
          <w:szCs w:val="28"/>
        </w:rPr>
        <w:t>к уровню 2021 года, в 2,4 раза превысил уровень смертности. В свою очередь, уровень смертности существенно снизился несмотря на сохранение негативного влияния н</w:t>
      </w:r>
      <w:r w:rsidRPr="00C25ABA">
        <w:rPr>
          <w:rFonts w:ascii="Times New Roman" w:hAnsi="Times New Roman" w:cs="Times New Roman"/>
          <w:bCs/>
          <w:spacing w:val="-4"/>
          <w:sz w:val="28"/>
          <w:szCs w:val="28"/>
        </w:rPr>
        <w:t>еблагоприятной санитарно-эпидемиологической</w:t>
      </w:r>
      <w:r w:rsidRPr="00C25ABA">
        <w:rPr>
          <w:rFonts w:ascii="Times New Roman" w:hAnsi="Times New Roman" w:cs="Times New Roman"/>
          <w:bCs/>
          <w:sz w:val="28"/>
          <w:szCs w:val="28"/>
        </w:rPr>
        <w:t xml:space="preserve"> ситуации в условиях пандемии. При этом основными причинами смертности оставались болезни системы кровообращения и новообразования, что соответствует общероссийским характеристикам.</w:t>
      </w:r>
    </w:p>
    <w:p w:rsidR="00495929" w:rsidRPr="00C25ABA" w:rsidRDefault="00495929" w:rsidP="00495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pacing w:val="-4"/>
          <w:sz w:val="28"/>
          <w:szCs w:val="28"/>
        </w:rPr>
        <w:t>Тенденция изменения возрастной структуры населения, характеризующаяся</w:t>
      </w:r>
      <w:r w:rsidRPr="00C25ABA">
        <w:rPr>
          <w:rFonts w:ascii="Times New Roman" w:hAnsi="Times New Roman" w:cs="Times New Roman"/>
          <w:sz w:val="28"/>
          <w:szCs w:val="28"/>
        </w:rPr>
        <w:t xml:space="preserve"> снижением доли населения в трудоспособном возрасте (в условиях сопоставимости его границ), в том числе женщин активного репродуктивного возраста, ростом доли населения моложе и старше трудоспособного возраста, оставалась основным фактором, </w:t>
      </w:r>
      <w:r w:rsidRPr="00C25ABA">
        <w:rPr>
          <w:rFonts w:ascii="Times New Roman" w:hAnsi="Times New Roman" w:cs="Times New Roman"/>
          <w:spacing w:val="-4"/>
          <w:sz w:val="28"/>
          <w:szCs w:val="28"/>
        </w:rPr>
        <w:t xml:space="preserve">определяющим </w:t>
      </w:r>
      <w:r w:rsidRPr="00C25ABA">
        <w:rPr>
          <w:rFonts w:ascii="Times New Roman" w:hAnsi="Times New Roman" w:cs="Times New Roman"/>
          <w:bCs/>
          <w:sz w:val="28"/>
          <w:szCs w:val="28"/>
        </w:rPr>
        <w:t>снижение уровня рождаемости</w:t>
      </w:r>
      <w:r w:rsidRPr="00C25ABA">
        <w:rPr>
          <w:rFonts w:ascii="Times New Roman" w:hAnsi="Times New Roman" w:cs="Times New Roman"/>
          <w:spacing w:val="-4"/>
          <w:sz w:val="28"/>
          <w:szCs w:val="28"/>
        </w:rPr>
        <w:t xml:space="preserve"> и увеличение </w:t>
      </w:r>
      <w:r w:rsidRPr="00C25ABA">
        <w:rPr>
          <w:rFonts w:ascii="Times New Roman" w:hAnsi="Times New Roman" w:cs="Times New Roman"/>
          <w:sz w:val="28"/>
          <w:szCs w:val="28"/>
        </w:rPr>
        <w:t>«демографической нагрузки» на лиц в трудоспособном возрасте.</w:t>
      </w:r>
    </w:p>
    <w:p w:rsidR="00BC311D" w:rsidRPr="00C25ABA" w:rsidRDefault="00BC311D" w:rsidP="00BC31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eastAsia="Calibri" w:hAnsi="Times New Roman" w:cs="Times New Roman"/>
          <w:bCs/>
          <w:sz w:val="28"/>
          <w:szCs w:val="28"/>
        </w:rPr>
        <w:t xml:space="preserve">С учетом изменения границ трудоспособного возраста (на 5 лет) возрастная структура населения претерпела следующие изменения: доля населения моложе </w:t>
      </w:r>
      <w:r w:rsidRPr="00C25ABA">
        <w:rPr>
          <w:rFonts w:ascii="Times New Roman" w:eastAsia="Calibri" w:hAnsi="Times New Roman" w:cs="Times New Roman"/>
          <w:sz w:val="28"/>
          <w:szCs w:val="28"/>
        </w:rPr>
        <w:t>трудоспособного воз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t>раста (0 – 15 лет) к уровню 2021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t>снизилась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t>1,26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C25ABA">
        <w:rPr>
          <w:rFonts w:ascii="Times New Roman" w:eastAsia="Calibri" w:hAnsi="Times New Roman" w:cs="Times New Roman"/>
          <w:sz w:val="28"/>
          <w:szCs w:val="28"/>
        </w:rPr>
        <w:br/>
        <w:t>(с 2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t>3,9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 до 2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t>2,6</w:t>
      </w:r>
      <w:r w:rsidRPr="00C25ABA">
        <w:rPr>
          <w:rFonts w:ascii="Times New Roman" w:eastAsia="Calibri" w:hAnsi="Times New Roman" w:cs="Times New Roman"/>
          <w:sz w:val="28"/>
          <w:szCs w:val="28"/>
        </w:rPr>
        <w:t>%), в трудоспособном возрасте (16 – 59/64 года) – на 0,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t>16</w:t>
      </w:r>
      <w:r w:rsidRPr="00C25ABA">
        <w:rPr>
          <w:rFonts w:ascii="Times New Roman" w:eastAsia="Calibri" w:hAnsi="Times New Roman" w:cs="Times New Roman"/>
          <w:sz w:val="28"/>
          <w:szCs w:val="28"/>
        </w:rPr>
        <w:t>% (с 65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t>,2</w:t>
      </w:r>
      <w:r w:rsidRPr="00C25ABA">
        <w:rPr>
          <w:rFonts w:ascii="Times New Roman" w:eastAsia="Calibri" w:hAnsi="Times New Roman" w:cs="Times New Roman"/>
          <w:sz w:val="28"/>
          <w:szCs w:val="28"/>
        </w:rPr>
        <w:t xml:space="preserve"> до 6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t>5</w:t>
      </w:r>
      <w:r w:rsidRPr="00C25ABA">
        <w:rPr>
          <w:rFonts w:ascii="Times New Roman" w:eastAsia="Calibri" w:hAnsi="Times New Roman" w:cs="Times New Roman"/>
          <w:sz w:val="28"/>
          <w:szCs w:val="28"/>
        </w:rPr>
        <w:t>%);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t xml:space="preserve"> старше трудоспособного возраста (от 60/65 лет) увеличилась на 1,4% </w:t>
      </w:r>
      <w:r w:rsidR="00F35A7E" w:rsidRPr="00C25ABA">
        <w:rPr>
          <w:rFonts w:ascii="Times New Roman" w:eastAsia="Calibri" w:hAnsi="Times New Roman" w:cs="Times New Roman"/>
          <w:sz w:val="28"/>
          <w:szCs w:val="28"/>
        </w:rPr>
        <w:br/>
        <w:t>(с 10,9 до 12,3%).</w:t>
      </w:r>
    </w:p>
    <w:p w:rsidR="00BC311D" w:rsidRPr="00C25ABA" w:rsidRDefault="00F35A7E" w:rsidP="00BC31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ABA">
        <w:rPr>
          <w:rFonts w:ascii="Times New Roman" w:eastAsia="Calibri" w:hAnsi="Times New Roman" w:cs="Times New Roman"/>
          <w:sz w:val="28"/>
          <w:szCs w:val="28"/>
        </w:rPr>
        <w:t>К</w:t>
      </w:r>
      <w:r w:rsidR="00BC311D" w:rsidRPr="00C25ABA">
        <w:rPr>
          <w:rFonts w:ascii="Times New Roman" w:eastAsia="Calibri" w:hAnsi="Times New Roman" w:cs="Times New Roman"/>
          <w:sz w:val="28"/>
          <w:szCs w:val="28"/>
        </w:rPr>
        <w:t>оэффициент общей демографической нагрузки на 1 000 человек трудоспособного возраста детьми (0 – 15 лет) и пожилыми</w:t>
      </w:r>
      <w:r w:rsidR="00BC311D" w:rsidRPr="00C25ABA">
        <w:rPr>
          <w:rFonts w:ascii="Times New Roman" w:eastAsia="Calibri" w:hAnsi="Times New Roman" w:cs="Times New Roman"/>
          <w:bCs/>
          <w:sz w:val="28"/>
          <w:szCs w:val="28"/>
        </w:rPr>
        <w:t xml:space="preserve"> с учетом изменения границ трудоспособного возраста на 5 лет</w:t>
      </w:r>
      <w:r w:rsidR="00BC311D" w:rsidRPr="00C25ABA">
        <w:rPr>
          <w:rFonts w:ascii="Times New Roman" w:eastAsia="Calibri" w:hAnsi="Times New Roman" w:cs="Times New Roman"/>
          <w:sz w:val="28"/>
          <w:szCs w:val="28"/>
        </w:rPr>
        <w:t xml:space="preserve"> (от 60/65 лет) увеличился за год с 5</w:t>
      </w:r>
      <w:r w:rsidRPr="00C25ABA">
        <w:rPr>
          <w:rFonts w:ascii="Times New Roman" w:eastAsia="Calibri" w:hAnsi="Times New Roman" w:cs="Times New Roman"/>
          <w:sz w:val="28"/>
          <w:szCs w:val="28"/>
        </w:rPr>
        <w:t>34</w:t>
      </w:r>
      <w:r w:rsidR="00BC311D" w:rsidRPr="00C25ABA">
        <w:rPr>
          <w:rFonts w:ascii="Times New Roman" w:eastAsia="Calibri" w:hAnsi="Times New Roman" w:cs="Times New Roman"/>
          <w:sz w:val="28"/>
          <w:szCs w:val="28"/>
        </w:rPr>
        <w:t xml:space="preserve"> до 5</w:t>
      </w:r>
      <w:r w:rsidRPr="00C25ABA">
        <w:rPr>
          <w:rFonts w:ascii="Times New Roman" w:eastAsia="Calibri" w:hAnsi="Times New Roman" w:cs="Times New Roman"/>
          <w:sz w:val="28"/>
          <w:szCs w:val="28"/>
        </w:rPr>
        <w:t>37</w:t>
      </w:r>
      <w:r w:rsidR="00BC311D" w:rsidRPr="00C25ABA">
        <w:rPr>
          <w:rFonts w:ascii="Times New Roman" w:eastAsia="Calibri" w:hAnsi="Times New Roman" w:cs="Times New Roman"/>
          <w:sz w:val="28"/>
          <w:szCs w:val="28"/>
        </w:rPr>
        <w:t xml:space="preserve">, при </w:t>
      </w:r>
      <w:r w:rsidR="00BC311D" w:rsidRPr="00C25A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этом коэффициент нагрузки детьми в </w:t>
      </w:r>
      <w:r w:rsidRPr="00C25ABA">
        <w:rPr>
          <w:rFonts w:ascii="Times New Roman" w:eastAsia="Calibri" w:hAnsi="Times New Roman" w:cs="Times New Roman"/>
          <w:sz w:val="28"/>
          <w:szCs w:val="28"/>
        </w:rPr>
        <w:t>1,8</w:t>
      </w:r>
      <w:r w:rsidR="00BC311D" w:rsidRPr="00C25ABA">
        <w:rPr>
          <w:rFonts w:ascii="Times New Roman" w:eastAsia="Calibri" w:hAnsi="Times New Roman" w:cs="Times New Roman"/>
          <w:sz w:val="28"/>
          <w:szCs w:val="28"/>
        </w:rPr>
        <w:t xml:space="preserve"> раза превысил коэффициент нагрузки пожилыми.</w:t>
      </w:r>
    </w:p>
    <w:p w:rsidR="00495929" w:rsidRPr="00C25ABA" w:rsidRDefault="00495929" w:rsidP="004959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ABA">
        <w:rPr>
          <w:rFonts w:ascii="Times New Roman" w:hAnsi="Times New Roman" w:cs="Times New Roman"/>
          <w:sz w:val="28"/>
          <w:szCs w:val="28"/>
        </w:rPr>
        <w:t>По итогам года коэффициент общего прироста населения составил 2</w:t>
      </w:r>
      <w:r w:rsidR="00BC311D" w:rsidRPr="00C25ABA">
        <w:rPr>
          <w:rFonts w:ascii="Times New Roman" w:hAnsi="Times New Roman" w:cs="Times New Roman"/>
          <w:sz w:val="28"/>
          <w:szCs w:val="28"/>
        </w:rPr>
        <w:t xml:space="preserve">1,2 </w:t>
      </w:r>
      <w:r w:rsidR="007D18FA" w:rsidRPr="00C25ABA">
        <w:rPr>
          <w:rFonts w:ascii="Times New Roman" w:hAnsi="Times New Roman" w:cs="Times New Roman"/>
          <w:sz w:val="28"/>
          <w:szCs w:val="28"/>
        </w:rPr>
        <w:br/>
      </w:r>
      <w:r w:rsidRPr="00C25ABA">
        <w:rPr>
          <w:rFonts w:ascii="Times New Roman" w:hAnsi="Times New Roman" w:cs="Times New Roman"/>
          <w:sz w:val="28"/>
          <w:szCs w:val="28"/>
        </w:rPr>
        <w:t>на тысячу жителей (2021 год – 22,1), в том числе естественного прироста – 8,</w:t>
      </w:r>
      <w:r w:rsidR="00BC311D" w:rsidRPr="00C25ABA">
        <w:rPr>
          <w:rFonts w:ascii="Times New Roman" w:hAnsi="Times New Roman" w:cs="Times New Roman"/>
          <w:sz w:val="28"/>
          <w:szCs w:val="28"/>
        </w:rPr>
        <w:t>3</w:t>
      </w:r>
      <w:r w:rsidRPr="00C25ABA">
        <w:rPr>
          <w:rFonts w:ascii="Times New Roman" w:hAnsi="Times New Roman" w:cs="Times New Roman"/>
          <w:sz w:val="28"/>
          <w:szCs w:val="28"/>
        </w:rPr>
        <w:t xml:space="preserve"> (7), миграционного прироста – 12,</w:t>
      </w:r>
      <w:r w:rsidR="00BC311D" w:rsidRPr="00C25ABA">
        <w:rPr>
          <w:rFonts w:ascii="Times New Roman" w:hAnsi="Times New Roman" w:cs="Times New Roman"/>
          <w:sz w:val="28"/>
          <w:szCs w:val="28"/>
        </w:rPr>
        <w:t>9</w:t>
      </w:r>
      <w:r w:rsidRPr="00C25ABA">
        <w:rPr>
          <w:rFonts w:ascii="Times New Roman" w:hAnsi="Times New Roman" w:cs="Times New Roman"/>
          <w:sz w:val="28"/>
          <w:szCs w:val="28"/>
        </w:rPr>
        <w:t xml:space="preserve"> (15,1).</w:t>
      </w:r>
    </w:p>
    <w:p w:rsidR="007D18FA" w:rsidRPr="00A9397A" w:rsidRDefault="00495929" w:rsidP="00495929">
      <w:pPr>
        <w:tabs>
          <w:tab w:val="left" w:pos="22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C25AB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С учетом корректировки по итогам Всероссийской переписи населения 2020 численность постоянного населения города на конец 2022 года составила </w:t>
      </w:r>
      <w:r w:rsidR="007D18FA" w:rsidRPr="00C25ABA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C25ABA">
        <w:rPr>
          <w:rFonts w:ascii="Times New Roman" w:eastAsia="Calibri" w:hAnsi="Times New Roman" w:cs="Times New Roman"/>
          <w:spacing w:val="-6"/>
          <w:sz w:val="28"/>
          <w:szCs w:val="28"/>
        </w:rPr>
        <w:t>406,9 тыс. человек, общий прирост постоянного населения за год – 11 тыс. человек или 2,8%.</w:t>
      </w:r>
    </w:p>
    <w:sectPr w:rsidR="007D18FA" w:rsidRPr="00A9397A" w:rsidSect="0082700F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1BC" w:rsidRDefault="00C651BC">
      <w:pPr>
        <w:spacing w:after="0" w:line="240" w:lineRule="auto"/>
      </w:pPr>
      <w:r>
        <w:separator/>
      </w:r>
    </w:p>
  </w:endnote>
  <w:endnote w:type="continuationSeparator" w:id="0">
    <w:p w:rsidR="00C651BC" w:rsidRDefault="00C6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1BC" w:rsidRDefault="00C651BC">
      <w:pPr>
        <w:spacing w:after="0" w:line="240" w:lineRule="auto"/>
      </w:pPr>
      <w:r>
        <w:separator/>
      </w:r>
    </w:p>
  </w:footnote>
  <w:footnote w:type="continuationSeparator" w:id="0">
    <w:p w:rsidR="00C651BC" w:rsidRDefault="00C6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4187"/>
      <w:docPartObj>
        <w:docPartGallery w:val="Page Numbers (Top of Page)"/>
        <w:docPartUnique/>
      </w:docPartObj>
    </w:sdtPr>
    <w:sdtEndPr/>
    <w:sdtContent>
      <w:p w:rsidR="00930513" w:rsidRDefault="000773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E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0513" w:rsidRDefault="00C651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53E5D"/>
    <w:multiLevelType w:val="hybridMultilevel"/>
    <w:tmpl w:val="3E6C2F4A"/>
    <w:lvl w:ilvl="0" w:tplc="08785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6B"/>
    <w:rsid w:val="000128D5"/>
    <w:rsid w:val="0007736B"/>
    <w:rsid w:val="000E5A1D"/>
    <w:rsid w:val="001033D8"/>
    <w:rsid w:val="00116854"/>
    <w:rsid w:val="001C6C7D"/>
    <w:rsid w:val="0025483D"/>
    <w:rsid w:val="00254E4B"/>
    <w:rsid w:val="002706BE"/>
    <w:rsid w:val="002753E2"/>
    <w:rsid w:val="002C5A27"/>
    <w:rsid w:val="002E1915"/>
    <w:rsid w:val="00333822"/>
    <w:rsid w:val="003B0E3D"/>
    <w:rsid w:val="003B3186"/>
    <w:rsid w:val="004049B1"/>
    <w:rsid w:val="00427381"/>
    <w:rsid w:val="00451998"/>
    <w:rsid w:val="004677F8"/>
    <w:rsid w:val="00495929"/>
    <w:rsid w:val="004C55F9"/>
    <w:rsid w:val="00582BDA"/>
    <w:rsid w:val="005C4B19"/>
    <w:rsid w:val="005D6CA6"/>
    <w:rsid w:val="005E553F"/>
    <w:rsid w:val="00651B7D"/>
    <w:rsid w:val="0066648F"/>
    <w:rsid w:val="006B1E84"/>
    <w:rsid w:val="006B74A8"/>
    <w:rsid w:val="00725E09"/>
    <w:rsid w:val="00740D2F"/>
    <w:rsid w:val="007D18FA"/>
    <w:rsid w:val="0082700F"/>
    <w:rsid w:val="0086244C"/>
    <w:rsid w:val="008B754C"/>
    <w:rsid w:val="008C5EFF"/>
    <w:rsid w:val="0096472E"/>
    <w:rsid w:val="00964764"/>
    <w:rsid w:val="009B3EBD"/>
    <w:rsid w:val="00A135AF"/>
    <w:rsid w:val="00A23088"/>
    <w:rsid w:val="00A634C7"/>
    <w:rsid w:val="00A92A76"/>
    <w:rsid w:val="00A9397A"/>
    <w:rsid w:val="00AA0EAE"/>
    <w:rsid w:val="00AF39C7"/>
    <w:rsid w:val="00B3728C"/>
    <w:rsid w:val="00B96DF7"/>
    <w:rsid w:val="00BC311D"/>
    <w:rsid w:val="00BD6258"/>
    <w:rsid w:val="00C115D8"/>
    <w:rsid w:val="00C25ABA"/>
    <w:rsid w:val="00C651BC"/>
    <w:rsid w:val="00CC3671"/>
    <w:rsid w:val="00D66166"/>
    <w:rsid w:val="00D97535"/>
    <w:rsid w:val="00DC764C"/>
    <w:rsid w:val="00DE3CF2"/>
    <w:rsid w:val="00EC66DA"/>
    <w:rsid w:val="00EF49E2"/>
    <w:rsid w:val="00F35A7E"/>
    <w:rsid w:val="00F55830"/>
    <w:rsid w:val="00F610A1"/>
    <w:rsid w:val="00F77676"/>
    <w:rsid w:val="00FA065F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D2F9"/>
  <w15:chartTrackingRefBased/>
  <w15:docId w15:val="{39CB5A87-8B13-445C-BD4D-6D4E9402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736B"/>
    <w:rPr>
      <w:rFonts w:eastAsiaTheme="minorEastAsia"/>
      <w:lang w:eastAsia="ru-RU"/>
    </w:rPr>
  </w:style>
  <w:style w:type="paragraph" w:styleId="a5">
    <w:name w:val="List Paragraph"/>
    <w:aliases w:val="Нумерованый список,Нумерованный спиков,ПАРАГРАФ,Subtle Emphasis,head 5,Светлая сетка - Акцент 31,List Paragraph,AC List 01"/>
    <w:basedOn w:val="a"/>
    <w:link w:val="a6"/>
    <w:uiPriority w:val="34"/>
    <w:qFormat/>
    <w:rsid w:val="0007736B"/>
    <w:pPr>
      <w:ind w:left="720"/>
      <w:contextualSpacing/>
    </w:pPr>
  </w:style>
  <w:style w:type="character" w:customStyle="1" w:styleId="a6">
    <w:name w:val="Абзац списка Знак"/>
    <w:aliases w:val="Нумерованый список Знак,Нумерованный спиков Знак,ПАРАГРАФ Знак,Subtle Emphasis Знак,head 5 Знак,Светлая сетка - Акцент 31 Знак,List Paragraph Знак,AC List 01 Знак"/>
    <w:link w:val="a5"/>
    <w:uiPriority w:val="34"/>
    <w:rsid w:val="0007736B"/>
    <w:rPr>
      <w:rFonts w:eastAsiaTheme="minorEastAsia"/>
      <w:lang w:eastAsia="ru-RU"/>
    </w:rPr>
  </w:style>
  <w:style w:type="character" w:customStyle="1" w:styleId="a7">
    <w:name w:val="Гипертекстовая ссылка"/>
    <w:basedOn w:val="a0"/>
    <w:uiPriority w:val="99"/>
    <w:rsid w:val="008B754C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Default">
    <w:name w:val="Default"/>
    <w:rsid w:val="002753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A09F-6872-4E03-A747-59091DAF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9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Бергер Ольга Сергеевна</cp:lastModifiedBy>
  <cp:revision>43</cp:revision>
  <cp:lastPrinted>2023-08-11T09:25:00Z</cp:lastPrinted>
  <dcterms:created xsi:type="dcterms:W3CDTF">2023-08-08T12:34:00Z</dcterms:created>
  <dcterms:modified xsi:type="dcterms:W3CDTF">2023-08-22T06:31:00Z</dcterms:modified>
</cp:coreProperties>
</file>